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38" w:rsidRPr="00A57C4F" w:rsidRDefault="002F2D16" w:rsidP="005E4E3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57C4F">
        <w:rPr>
          <w:b/>
          <w:sz w:val="24"/>
          <w:szCs w:val="24"/>
          <w:u w:val="single"/>
        </w:rPr>
        <w:t>OBEC MIČOVICE</w:t>
      </w:r>
    </w:p>
    <w:p w:rsidR="002F2D16" w:rsidRPr="00A57C4F" w:rsidRDefault="002F2D16" w:rsidP="005E4E31">
      <w:pPr>
        <w:spacing w:line="240" w:lineRule="auto"/>
        <w:jc w:val="center"/>
        <w:rPr>
          <w:sz w:val="24"/>
          <w:szCs w:val="24"/>
        </w:rPr>
      </w:pPr>
      <w:r w:rsidRPr="00A57C4F">
        <w:rPr>
          <w:sz w:val="24"/>
          <w:szCs w:val="24"/>
        </w:rPr>
        <w:t>jako provozovatel veřejného pohřebiště podle § 16 odst. 1 zákona č. 256/2001 Sb., o pohřebnictví a o změně některých zákonů, ve znění pozdějších předpisů, vydává v souladu s ustanovením § 19 citovaného zákona</w:t>
      </w:r>
    </w:p>
    <w:p w:rsidR="002F2D16" w:rsidRPr="00A57C4F" w:rsidRDefault="002F2D16" w:rsidP="005E4E3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57C4F">
        <w:rPr>
          <w:b/>
          <w:sz w:val="24"/>
          <w:szCs w:val="24"/>
          <w:u w:val="single"/>
        </w:rPr>
        <w:t>Řád veřejného pohřebiště obce Mičovice</w:t>
      </w:r>
    </w:p>
    <w:p w:rsidR="002F2D16" w:rsidRPr="00A57C4F" w:rsidRDefault="002F2D16" w:rsidP="005E4E3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Zastupitelstvo obce Mičovice ve smyslu § 102 odst. 3 zákona č, 128/2000 Sb., o obcích, ve znění pozdějších předpisů schválila tento Řád veře</w:t>
      </w:r>
      <w:r w:rsidR="005B1F36">
        <w:rPr>
          <w:sz w:val="24"/>
          <w:szCs w:val="24"/>
        </w:rPr>
        <w:t>jného pohřebiště obce dne 24. 10. 2019</w:t>
      </w:r>
      <w:r w:rsidRPr="00A57C4F">
        <w:rPr>
          <w:sz w:val="24"/>
          <w:szCs w:val="24"/>
        </w:rPr>
        <w:t>, pod číslem usnesení</w:t>
      </w:r>
      <w:r w:rsidR="005B1F36">
        <w:rPr>
          <w:sz w:val="24"/>
          <w:szCs w:val="24"/>
        </w:rPr>
        <w:t xml:space="preserve"> </w:t>
      </w:r>
      <w:r w:rsidRPr="00A57C4F">
        <w:rPr>
          <w:sz w:val="24"/>
          <w:szCs w:val="24"/>
        </w:rPr>
        <w:t xml:space="preserve"> </w:t>
      </w:r>
      <w:r w:rsidR="005B1F36" w:rsidRPr="005B1F36">
        <w:rPr>
          <w:sz w:val="24"/>
          <w:szCs w:val="24"/>
        </w:rPr>
        <w:t>7/2019 – 87</w:t>
      </w:r>
      <w:r w:rsidR="005B1F36">
        <w:rPr>
          <w:sz w:val="24"/>
          <w:szCs w:val="24"/>
        </w:rPr>
        <w:t>.</w:t>
      </w:r>
    </w:p>
    <w:p w:rsidR="002F2D16" w:rsidRPr="00A57C4F" w:rsidRDefault="002F2D16" w:rsidP="005E4E3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Řád veřejného pohřebiště se vydává na základě zákona č. 256/2001 Sb., o pohřebnictví a o změně některých zákonů, ve znění pozdějších předpisů, po předchozím souhlasu Krajského úřadu Jihočeského kraje ze dne </w:t>
      </w:r>
      <w:r w:rsidR="005B1F36">
        <w:rPr>
          <w:sz w:val="24"/>
          <w:szCs w:val="24"/>
        </w:rPr>
        <w:t>22. 10. 2019</w:t>
      </w:r>
      <w:r w:rsidRPr="00A57C4F">
        <w:rPr>
          <w:sz w:val="24"/>
          <w:szCs w:val="24"/>
        </w:rPr>
        <w:t xml:space="preserve">, vydaného pod </w:t>
      </w:r>
      <w:proofErr w:type="gramStart"/>
      <w:r w:rsidRPr="00A57C4F">
        <w:rPr>
          <w:sz w:val="24"/>
          <w:szCs w:val="24"/>
        </w:rPr>
        <w:t>č.j.</w:t>
      </w:r>
      <w:proofErr w:type="gramEnd"/>
      <w:r w:rsidRPr="00A57C4F">
        <w:rPr>
          <w:sz w:val="24"/>
          <w:szCs w:val="24"/>
        </w:rPr>
        <w:t xml:space="preserve"> KUJCK</w:t>
      </w:r>
      <w:r w:rsidR="005B1F36">
        <w:rPr>
          <w:sz w:val="24"/>
          <w:szCs w:val="24"/>
        </w:rPr>
        <w:t xml:space="preserve"> 121082/2019</w:t>
      </w:r>
      <w:r w:rsidRPr="00A57C4F">
        <w:rPr>
          <w:sz w:val="24"/>
          <w:szCs w:val="24"/>
        </w:rPr>
        <w:t>.</w:t>
      </w: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rPr>
          <w:sz w:val="24"/>
          <w:szCs w:val="24"/>
        </w:rPr>
      </w:pP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</w:t>
      </w: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Úvodní ustanovení</w:t>
      </w:r>
    </w:p>
    <w:p w:rsidR="002F2D16" w:rsidRPr="00A57C4F" w:rsidRDefault="002F2D16" w:rsidP="005E4E31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Provozování pohřebiště je nedílnou součástí veřejné infrastruktury a službou ve veřejném zájmu v samostatné působnosti obce</w:t>
      </w:r>
    </w:p>
    <w:p w:rsidR="002F2D16" w:rsidRPr="00A57C4F" w:rsidRDefault="002F2D16" w:rsidP="005E4E31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Provozovatelem </w:t>
      </w:r>
      <w:r w:rsidR="004D65B3">
        <w:rPr>
          <w:sz w:val="24"/>
          <w:szCs w:val="24"/>
        </w:rPr>
        <w:t xml:space="preserve">a správcem </w:t>
      </w:r>
      <w:r w:rsidRPr="00A57C4F">
        <w:rPr>
          <w:sz w:val="24"/>
          <w:szCs w:val="24"/>
        </w:rPr>
        <w:t>veřejného pohřebiště</w:t>
      </w:r>
      <w:r w:rsidR="005B1F36">
        <w:rPr>
          <w:sz w:val="24"/>
          <w:szCs w:val="24"/>
        </w:rPr>
        <w:t xml:space="preserve"> ve </w:t>
      </w:r>
      <w:proofErr w:type="spellStart"/>
      <w:r w:rsidR="005B1F36">
        <w:rPr>
          <w:sz w:val="24"/>
          <w:szCs w:val="24"/>
        </w:rPr>
        <w:t>Frantolech</w:t>
      </w:r>
      <w:proofErr w:type="spellEnd"/>
      <w:r w:rsidR="005B1F36">
        <w:rPr>
          <w:sz w:val="24"/>
          <w:szCs w:val="24"/>
        </w:rPr>
        <w:t xml:space="preserve"> je obec Mičovice</w:t>
      </w:r>
      <w:r w:rsidRPr="00A57C4F">
        <w:rPr>
          <w:sz w:val="24"/>
          <w:szCs w:val="24"/>
        </w:rPr>
        <w:t xml:space="preserve"> IČ: 00583090, </w:t>
      </w:r>
      <w:proofErr w:type="gramStart"/>
      <w:r w:rsidRPr="00A57C4F">
        <w:rPr>
          <w:sz w:val="24"/>
          <w:szCs w:val="24"/>
        </w:rPr>
        <w:t>se</w:t>
      </w:r>
      <w:proofErr w:type="gramEnd"/>
      <w:r w:rsidRPr="00A57C4F">
        <w:rPr>
          <w:sz w:val="24"/>
          <w:szCs w:val="24"/>
        </w:rPr>
        <w:t xml:space="preserve"> s</w:t>
      </w:r>
      <w:r w:rsidR="005E4E31" w:rsidRPr="00A57C4F">
        <w:rPr>
          <w:sz w:val="24"/>
          <w:szCs w:val="24"/>
        </w:rPr>
        <w:t>í</w:t>
      </w:r>
      <w:r w:rsidRPr="00A57C4F">
        <w:rPr>
          <w:sz w:val="24"/>
          <w:szCs w:val="24"/>
        </w:rPr>
        <w:t>d</w:t>
      </w:r>
      <w:r w:rsidR="005E4E31" w:rsidRPr="00A57C4F">
        <w:rPr>
          <w:sz w:val="24"/>
          <w:szCs w:val="24"/>
        </w:rPr>
        <w:t>l</w:t>
      </w:r>
      <w:r w:rsidRPr="00A57C4F">
        <w:rPr>
          <w:sz w:val="24"/>
          <w:szCs w:val="24"/>
        </w:rPr>
        <w:t>en: Mičovice 23</w:t>
      </w:r>
      <w:r w:rsidR="00DC69C5">
        <w:rPr>
          <w:sz w:val="24"/>
          <w:szCs w:val="24"/>
        </w:rPr>
        <w:t>,</w:t>
      </w:r>
      <w:r w:rsidRPr="00A57C4F">
        <w:rPr>
          <w:sz w:val="24"/>
          <w:szCs w:val="24"/>
        </w:rPr>
        <w:t xml:space="preserve"> 383 01 Prachatice, zastoupené starostou obce</w:t>
      </w: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rPr>
          <w:sz w:val="24"/>
          <w:szCs w:val="24"/>
        </w:rPr>
      </w:pP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2</w:t>
      </w:r>
    </w:p>
    <w:p w:rsidR="002F2D16" w:rsidRPr="00A57C4F" w:rsidRDefault="002F2D16" w:rsidP="005E4E31">
      <w:pPr>
        <w:pStyle w:val="Odstavecseseznamem"/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Působnost řádu pohřebiště</w:t>
      </w:r>
    </w:p>
    <w:p w:rsidR="002F2D16" w:rsidRPr="00A57C4F" w:rsidRDefault="002F2D16" w:rsidP="005E4E31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použité pojmy</w:t>
      </w:r>
    </w:p>
    <w:p w:rsidR="005E4E31" w:rsidRPr="00A57C4F" w:rsidRDefault="002F2D16" w:rsidP="005E4E31">
      <w:pPr>
        <w:pStyle w:val="Odstavecseseznamem"/>
        <w:spacing w:line="240" w:lineRule="auto"/>
        <w:ind w:left="1080" w:firstLine="0"/>
        <w:rPr>
          <w:sz w:val="24"/>
          <w:szCs w:val="24"/>
        </w:rPr>
      </w:pPr>
      <w:r w:rsidRPr="00A57C4F">
        <w:rPr>
          <w:b/>
          <w:sz w:val="24"/>
          <w:szCs w:val="24"/>
          <w:u w:val="single"/>
        </w:rPr>
        <w:t>Veřejné pohřebiště (dále jen „pohřebiště“)</w:t>
      </w:r>
      <w:r w:rsidRPr="00A57C4F">
        <w:rPr>
          <w:sz w:val="24"/>
          <w:szCs w:val="24"/>
        </w:rPr>
        <w:t xml:space="preserve"> – je prostor, určený k pohřbení lidských pozůstatků nebo uložení zpopelněných lidských ostatků v podobě míst pro hroby </w:t>
      </w:r>
      <w:r w:rsidR="005E4E31" w:rsidRPr="00A57C4F">
        <w:rPr>
          <w:sz w:val="24"/>
          <w:szCs w:val="24"/>
        </w:rPr>
        <w:t>a hrobky</w:t>
      </w:r>
    </w:p>
    <w:p w:rsidR="005E4E31" w:rsidRPr="00A57C4F" w:rsidRDefault="005E4E31" w:rsidP="005E4E31">
      <w:pPr>
        <w:pStyle w:val="Odstavecseseznamem"/>
        <w:spacing w:line="240" w:lineRule="auto"/>
        <w:ind w:left="1080" w:firstLine="0"/>
        <w:rPr>
          <w:sz w:val="24"/>
          <w:szCs w:val="24"/>
        </w:rPr>
      </w:pPr>
    </w:p>
    <w:p w:rsidR="005E4E31" w:rsidRPr="00A57C4F" w:rsidRDefault="005E4E31" w:rsidP="005E4E31">
      <w:pPr>
        <w:pStyle w:val="Odstavecseseznamem"/>
        <w:spacing w:line="240" w:lineRule="auto"/>
        <w:ind w:left="1134" w:firstLine="0"/>
        <w:rPr>
          <w:sz w:val="24"/>
          <w:szCs w:val="24"/>
        </w:rPr>
      </w:pPr>
      <w:r w:rsidRPr="00A57C4F">
        <w:rPr>
          <w:b/>
          <w:sz w:val="24"/>
          <w:szCs w:val="24"/>
          <w:u w:val="single"/>
        </w:rPr>
        <w:t>Řád veřejného pohřebiště obce Mičovice (dále jen „řád“)</w:t>
      </w:r>
      <w:r w:rsidRPr="00A57C4F">
        <w:rPr>
          <w:sz w:val="24"/>
          <w:szCs w:val="24"/>
        </w:rPr>
        <w:t xml:space="preserve"> – zveřejněná závazná pravidla a podmínky, kterými obec Mičovice jako provozovatel a správce pohřebiště v souladu s § 19 zákona o pohřebnictví upravuje zejména: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podmínky pro sjednání nájmu hrobového místa, které musí být stejné pro všechny osoby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rozsah služeb poskytovaných na veřejném pohřebišti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tlecí dobu pro ukládání lidských pozůstatků do hrobů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povinnosti nájemců hrobového místa při záměru zřízení hrobky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podmínky pro povolování exhumace po tlecí době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povinnosti návštěvníků veřejného pohřebiště v souvislosti s pořádkem na veřejném pohřebišti a zachováním důstojnosti tohoto místa a způsob a pravidla užívání zařízení veřejného pohřebiště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povinnosti provozovatele pohřebiště a dalších osob vykonávajících činnosti související se zajištěním řádného provozu veřejného pohřebiště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povinnosti nájemce hrobového místa, včetně rozsahu péče o hrobové místo</w:t>
      </w:r>
    </w:p>
    <w:p w:rsidR="005E4E31" w:rsidRPr="00A57C4F" w:rsidRDefault="005E4E31" w:rsidP="005E4E31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dobu, po kterou je veřejné pohřebiště přístupno návštěvníkům</w:t>
      </w:r>
    </w:p>
    <w:p w:rsidR="005E4E31" w:rsidRPr="00A57C4F" w:rsidRDefault="005E4E31" w:rsidP="005E4E31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lastRenderedPageBreak/>
        <w:tab/>
      </w:r>
      <w:r w:rsidRPr="00A57C4F">
        <w:rPr>
          <w:sz w:val="24"/>
          <w:szCs w:val="24"/>
        </w:rPr>
        <w:tab/>
      </w:r>
      <w:r w:rsidRPr="00A57C4F">
        <w:rPr>
          <w:b/>
          <w:sz w:val="24"/>
          <w:szCs w:val="24"/>
          <w:u w:val="single"/>
        </w:rPr>
        <w:t>Hrobové místo</w:t>
      </w:r>
      <w:r w:rsidRPr="00A57C4F">
        <w:rPr>
          <w:sz w:val="24"/>
          <w:szCs w:val="24"/>
        </w:rPr>
        <w:t xml:space="preserve"> – místo na pohřebišti, určené pro zřízení hrobu nebo hrobky</w:t>
      </w:r>
    </w:p>
    <w:p w:rsidR="005E4E31" w:rsidRPr="00A57C4F" w:rsidRDefault="005E4E31" w:rsidP="005E4E31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b/>
          <w:sz w:val="24"/>
          <w:szCs w:val="24"/>
          <w:u w:val="single"/>
        </w:rPr>
        <w:t>Hrob</w:t>
      </w:r>
      <w:r w:rsidRPr="00A57C4F">
        <w:rPr>
          <w:sz w:val="24"/>
          <w:szCs w:val="24"/>
        </w:rPr>
        <w:t xml:space="preserve"> – je hrobové místo, určené pro ukládání lidských pozůstatků </w:t>
      </w:r>
      <w:r w:rsidR="00A57C4F" w:rsidRPr="00A57C4F">
        <w:rPr>
          <w:sz w:val="24"/>
          <w:szCs w:val="24"/>
        </w:rPr>
        <w:tab/>
      </w:r>
      <w:r w:rsidR="00A57C4F" w:rsidRPr="00A57C4F">
        <w:rPr>
          <w:sz w:val="24"/>
          <w:szCs w:val="24"/>
        </w:rPr>
        <w:tab/>
      </w:r>
      <w:r w:rsidR="00A57C4F" w:rsidRPr="00A57C4F">
        <w:rPr>
          <w:sz w:val="24"/>
          <w:szCs w:val="24"/>
        </w:rPr>
        <w:tab/>
        <w:t xml:space="preserve">s následným </w:t>
      </w:r>
      <w:r w:rsidRPr="00A57C4F">
        <w:rPr>
          <w:sz w:val="24"/>
          <w:szCs w:val="24"/>
        </w:rPr>
        <w:t>zásypem zeminou</w:t>
      </w:r>
    </w:p>
    <w:p w:rsidR="005E4E31" w:rsidRPr="00A57C4F" w:rsidRDefault="005E4E31" w:rsidP="005E4E31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b/>
          <w:sz w:val="24"/>
          <w:szCs w:val="24"/>
          <w:u w:val="single"/>
        </w:rPr>
        <w:t>Hrobové zařízení</w:t>
      </w:r>
      <w:r w:rsidRPr="00A57C4F">
        <w:rPr>
          <w:sz w:val="24"/>
          <w:szCs w:val="24"/>
        </w:rPr>
        <w:t xml:space="preserve"> – je věc movitá, sestávajícíc</w:t>
      </w:r>
      <w:r w:rsidR="004A5879" w:rsidRPr="00A57C4F">
        <w:rPr>
          <w:sz w:val="24"/>
          <w:szCs w:val="24"/>
        </w:rPr>
        <w:t>h</w:t>
      </w:r>
      <w:r w:rsidRPr="00A57C4F">
        <w:rPr>
          <w:sz w:val="24"/>
          <w:szCs w:val="24"/>
        </w:rPr>
        <w:t xml:space="preserve"> z rozebíratelných dílů (včetně </w:t>
      </w:r>
      <w:r w:rsidR="004A5879" w:rsidRPr="00A57C4F">
        <w:rPr>
          <w:sz w:val="24"/>
          <w:szCs w:val="24"/>
        </w:rPr>
        <w:tab/>
      </w:r>
      <w:r w:rsidR="004A5879"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 xml:space="preserve">nezbytných základů), kterou lze přenést z místa na místo bez porušení její </w:t>
      </w:r>
      <w:r w:rsidR="004A5879" w:rsidRPr="00A57C4F">
        <w:rPr>
          <w:sz w:val="24"/>
          <w:szCs w:val="24"/>
        </w:rPr>
        <w:tab/>
      </w:r>
      <w:r w:rsidR="004A5879"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>podstaty</w:t>
      </w:r>
    </w:p>
    <w:p w:rsidR="005E4E31" w:rsidRPr="00A57C4F" w:rsidRDefault="005E4E31" w:rsidP="005E4E31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b/>
          <w:sz w:val="24"/>
          <w:szCs w:val="24"/>
          <w:u w:val="single"/>
        </w:rPr>
        <w:t>Hrobka</w:t>
      </w:r>
      <w:r w:rsidRPr="00A57C4F">
        <w:rPr>
          <w:sz w:val="24"/>
          <w:szCs w:val="24"/>
        </w:rPr>
        <w:t xml:space="preserve"> – je hrobové místo, určené pro ukládání lidských pozůstatků v</w:t>
      </w:r>
      <w:r w:rsidR="004A5879" w:rsidRPr="00A57C4F">
        <w:rPr>
          <w:sz w:val="24"/>
          <w:szCs w:val="24"/>
        </w:rPr>
        <w:t xml:space="preserve"> rakvi, </w:t>
      </w:r>
      <w:r w:rsidR="004A5879" w:rsidRPr="00A57C4F">
        <w:rPr>
          <w:sz w:val="24"/>
          <w:szCs w:val="24"/>
        </w:rPr>
        <w:tab/>
      </w:r>
      <w:r w:rsidR="004A5879" w:rsidRPr="00A57C4F">
        <w:rPr>
          <w:sz w:val="24"/>
          <w:szCs w:val="24"/>
        </w:rPr>
        <w:tab/>
        <w:t xml:space="preserve">do obestavěného prostoru pod nebo nad zemí, nezasypané zeminou. Hrobka </w:t>
      </w:r>
      <w:r w:rsidR="004A5879" w:rsidRPr="00A57C4F">
        <w:rPr>
          <w:sz w:val="24"/>
          <w:szCs w:val="24"/>
        </w:rPr>
        <w:tab/>
      </w:r>
      <w:r w:rsidR="004A5879" w:rsidRPr="00A57C4F">
        <w:rPr>
          <w:sz w:val="24"/>
          <w:szCs w:val="24"/>
        </w:rPr>
        <w:tab/>
        <w:t xml:space="preserve">je věc nemovitá, mající charakter dočasné stavby, kterou nelze přenést z místa </w:t>
      </w:r>
      <w:r w:rsidR="004A5879" w:rsidRPr="00A57C4F">
        <w:rPr>
          <w:sz w:val="24"/>
          <w:szCs w:val="24"/>
        </w:rPr>
        <w:tab/>
      </w:r>
      <w:r w:rsidR="004A5879" w:rsidRPr="00A57C4F">
        <w:rPr>
          <w:sz w:val="24"/>
          <w:szCs w:val="24"/>
        </w:rPr>
        <w:tab/>
        <w:t>na místo bez porušení její podstaty</w:t>
      </w:r>
    </w:p>
    <w:p w:rsidR="002F2D16" w:rsidRPr="00A57C4F" w:rsidRDefault="004A5879" w:rsidP="005E4E31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b/>
          <w:sz w:val="24"/>
          <w:szCs w:val="24"/>
          <w:u w:val="single"/>
        </w:rPr>
        <w:t>Urnové (</w:t>
      </w:r>
      <w:proofErr w:type="spellStart"/>
      <w:r w:rsidRPr="00A57C4F">
        <w:rPr>
          <w:b/>
          <w:sz w:val="24"/>
          <w:szCs w:val="24"/>
          <w:u w:val="single"/>
        </w:rPr>
        <w:t>epitafní</w:t>
      </w:r>
      <w:proofErr w:type="spellEnd"/>
      <w:r w:rsidRPr="00A57C4F">
        <w:rPr>
          <w:b/>
          <w:sz w:val="24"/>
          <w:szCs w:val="24"/>
          <w:u w:val="single"/>
        </w:rPr>
        <w:t>) místo</w:t>
      </w:r>
      <w:r w:rsidRPr="00A57C4F">
        <w:rPr>
          <w:sz w:val="24"/>
          <w:szCs w:val="24"/>
        </w:rPr>
        <w:t xml:space="preserve"> – je hrobové místo, určené pouze pro ukládání uren </w:t>
      </w:r>
      <w:r w:rsidR="00A57C4F" w:rsidRPr="00A57C4F">
        <w:rPr>
          <w:sz w:val="24"/>
          <w:szCs w:val="24"/>
        </w:rPr>
        <w:tab/>
      </w:r>
      <w:r w:rsidR="00A57C4F" w:rsidRPr="00A57C4F">
        <w:rPr>
          <w:sz w:val="24"/>
          <w:szCs w:val="24"/>
        </w:rPr>
        <w:tab/>
        <w:t xml:space="preserve">se </w:t>
      </w:r>
      <w:r w:rsidRPr="00A57C4F">
        <w:rPr>
          <w:sz w:val="24"/>
          <w:szCs w:val="24"/>
        </w:rPr>
        <w:t xml:space="preserve">zpopelněnými lidskými ostatky (minimálně v úředních obalech) do </w:t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 xml:space="preserve">vyhrazeného prostoru pod nebo nad zemí; uložení uren se zpopelněnými </w:t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 xml:space="preserve">lidskými ostatky je s prokazatelným souhlasem provozovatele pohřebiště </w:t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možné i do hrobů a hrobek, nebo v pevných obalech na jejich povrch</w:t>
      </w:r>
    </w:p>
    <w:p w:rsidR="004A5879" w:rsidRPr="00A57C4F" w:rsidRDefault="004A5879" w:rsidP="004A58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Ustanovení tohoto řádu se vztahují na veřejné pohřebiště ve </w:t>
      </w:r>
      <w:proofErr w:type="spellStart"/>
      <w:r w:rsidRPr="00A57C4F">
        <w:rPr>
          <w:sz w:val="24"/>
          <w:szCs w:val="24"/>
        </w:rPr>
        <w:t>Frantolech</w:t>
      </w:r>
      <w:proofErr w:type="spellEnd"/>
      <w:r w:rsidRPr="00A57C4F">
        <w:rPr>
          <w:sz w:val="24"/>
          <w:szCs w:val="24"/>
        </w:rPr>
        <w:t xml:space="preserve"> umístěného na pozemku p. č. 463 KN, to vše v k. </w:t>
      </w:r>
      <w:proofErr w:type="spellStart"/>
      <w:r w:rsidRPr="00A57C4F">
        <w:rPr>
          <w:sz w:val="24"/>
          <w:szCs w:val="24"/>
        </w:rPr>
        <w:t>ú.</w:t>
      </w:r>
      <w:proofErr w:type="spellEnd"/>
      <w:r w:rsidRPr="00A57C4F">
        <w:rPr>
          <w:sz w:val="24"/>
          <w:szCs w:val="24"/>
        </w:rPr>
        <w:t xml:space="preserve"> </w:t>
      </w:r>
      <w:proofErr w:type="spellStart"/>
      <w:r w:rsidRPr="00A57C4F">
        <w:rPr>
          <w:sz w:val="24"/>
          <w:szCs w:val="24"/>
        </w:rPr>
        <w:t>Frantoly</w:t>
      </w:r>
      <w:proofErr w:type="spellEnd"/>
      <w:r w:rsidRPr="00A57C4F">
        <w:rPr>
          <w:sz w:val="24"/>
          <w:szCs w:val="24"/>
        </w:rPr>
        <w:t>, ve vlastnictví a užívání obce Mičovice, jejichž součástmi jsou:</w:t>
      </w:r>
    </w:p>
    <w:p w:rsidR="004A5879" w:rsidRPr="00A57C4F" w:rsidRDefault="004A5879" w:rsidP="004A5879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místa pro ukládání lidských pozůstatků do hrobů</w:t>
      </w:r>
    </w:p>
    <w:p w:rsidR="004A5879" w:rsidRPr="00A57C4F" w:rsidRDefault="004A5879" w:rsidP="004A5879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místa pro ukládání lidských pozůstatků do hrobek</w:t>
      </w:r>
    </w:p>
    <w:p w:rsidR="004A5879" w:rsidRPr="00A57C4F" w:rsidRDefault="004A5879" w:rsidP="004A5879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místa pro ukládání zpopelněných lidských ostatků v urnách</w:t>
      </w:r>
    </w:p>
    <w:p w:rsidR="004A5879" w:rsidRPr="00A57C4F" w:rsidRDefault="004A5879" w:rsidP="004A5879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Vnější hranice tohoto pohřebiště jsou vymezeny zdí.</w:t>
      </w:r>
    </w:p>
    <w:p w:rsidR="004A5879" w:rsidRPr="00A57C4F" w:rsidRDefault="004A5879" w:rsidP="004A58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A57C4F">
        <w:rPr>
          <w:sz w:val="24"/>
          <w:szCs w:val="24"/>
        </w:rPr>
        <w:t>Řád</w:t>
      </w:r>
      <w:proofErr w:type="gramEnd"/>
      <w:r w:rsidRPr="00A57C4F">
        <w:rPr>
          <w:sz w:val="24"/>
          <w:szCs w:val="24"/>
        </w:rPr>
        <w:t xml:space="preserve"> je závazný pro provozovatele, správce a dále pro poskytovatele pohřebních služeb a jiných úkonů, poskytovatele kamenických služeb či jiných stavebních prací, nájemce hrobových</w:t>
      </w:r>
      <w:r w:rsidR="002F0E98" w:rsidRPr="00A57C4F">
        <w:rPr>
          <w:sz w:val="24"/>
          <w:szCs w:val="24"/>
        </w:rPr>
        <w:t xml:space="preserve"> a urnových míst, </w:t>
      </w:r>
      <w:proofErr w:type="spellStart"/>
      <w:r w:rsidR="002F0E98" w:rsidRPr="00A57C4F">
        <w:rPr>
          <w:sz w:val="24"/>
          <w:szCs w:val="24"/>
        </w:rPr>
        <w:t>vypravitele</w:t>
      </w:r>
      <w:proofErr w:type="spellEnd"/>
      <w:r w:rsidR="002F0E98" w:rsidRPr="00A57C4F">
        <w:rPr>
          <w:sz w:val="24"/>
          <w:szCs w:val="24"/>
        </w:rPr>
        <w:t xml:space="preserve"> pohřbu, návštěvníky pohřebiště včetně osob, které zde s prokazatelným souhlasem správce pohřebiště nebo nájemce provádějící práce a pro ostatní </w:t>
      </w:r>
      <w:proofErr w:type="gramStart"/>
      <w:r w:rsidR="002F0E98" w:rsidRPr="00A57C4F">
        <w:rPr>
          <w:sz w:val="24"/>
          <w:szCs w:val="24"/>
        </w:rPr>
        <w:t>veřejnost.</w:t>
      </w:r>
      <w:proofErr w:type="gramEnd"/>
    </w:p>
    <w:p w:rsidR="002F0E98" w:rsidRPr="00A57C4F" w:rsidRDefault="002F0E98" w:rsidP="004A58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Pokud bude stejná věc popsaná v několika dokumentech a v každém jinak, tak mají přednost v pořadí: nájemní smlouvy, řád, zákon o pohřebnictví a zákon č. 89/2012 Sb., občanský zákoník, ve znění pozdějších předpisů. Nájemní smlouva i řád nesmějí být v rozporu se zákonem nebo být proti zákonu – speciálnímu i obecnému. Zvláštní ustanovení mají vždy přednost před obecnými, a to i když jsou uvedena v jednom dokumentu. Pokud není v žádném dokumentu věc upravena, platí pravidla uvedená v právních předpisech.</w:t>
      </w:r>
    </w:p>
    <w:p w:rsidR="002F0E98" w:rsidRPr="00A57C4F" w:rsidRDefault="002F0E98" w:rsidP="004A5879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Hrob, ve kterém je pohřben zemřelý, jehož činnost byla mimořádně společensky prospěšná a všeobecně uznávaná, je možné rozhodnutím Zastupitelstva obce Mičovice prohlásit za „Čestný hrob“. Nájemce nesmí bez souhlasu Zastupitelstva obce Mičovice odstranit hrobové zařízení hrobového místa. V případě, že o další užívání hrobového místa, na kterém se nachází hrob prohlášený za „Čestný hrob“, neprojeví nájemci zájem, nebo v případě, že hrobové zařízení vykazuje </w:t>
      </w:r>
      <w:r w:rsidR="00B47668">
        <w:rPr>
          <w:sz w:val="24"/>
          <w:szCs w:val="24"/>
        </w:rPr>
        <w:t>znaky</w:t>
      </w:r>
      <w:r w:rsidRPr="00A57C4F">
        <w:rPr>
          <w:sz w:val="24"/>
          <w:szCs w:val="24"/>
        </w:rPr>
        <w:t xml:space="preserve"> </w:t>
      </w:r>
      <w:r w:rsidRPr="00A57C4F">
        <w:rPr>
          <w:sz w:val="24"/>
          <w:szCs w:val="24"/>
        </w:rPr>
        <w:lastRenderedPageBreak/>
        <w:t>opuštěnosti, je obec Mičovice povinna učinit na své náklady opatření směřující k zachování a důstojnosti hrobu.</w:t>
      </w:r>
    </w:p>
    <w:p w:rsidR="00A8539E" w:rsidRPr="00A57C4F" w:rsidRDefault="00A8539E" w:rsidP="00A8539E">
      <w:pPr>
        <w:spacing w:line="240" w:lineRule="auto"/>
        <w:rPr>
          <w:sz w:val="24"/>
          <w:szCs w:val="24"/>
        </w:rPr>
      </w:pPr>
    </w:p>
    <w:p w:rsidR="00A8539E" w:rsidRPr="00A57C4F" w:rsidRDefault="00A8539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3</w:t>
      </w:r>
    </w:p>
    <w:p w:rsidR="00A8539E" w:rsidRPr="00A57C4F" w:rsidRDefault="00A8539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Doba zpřístupnění pohřebiště</w:t>
      </w:r>
    </w:p>
    <w:p w:rsidR="00A8539E" w:rsidRPr="00A57C4F" w:rsidRDefault="00A8539E" w:rsidP="00A8539E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Pohřebiště je denně přístupné takto:</w:t>
      </w:r>
    </w:p>
    <w:p w:rsidR="00A8539E" w:rsidRPr="00A57C4F" w:rsidRDefault="00A8539E" w:rsidP="00A8539E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zimním období od 8,00 do 17,00 hodin</w:t>
      </w:r>
    </w:p>
    <w:p w:rsidR="00A8539E" w:rsidRPr="00A57C4F" w:rsidRDefault="00A8539E" w:rsidP="00A8539E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letním období od 7,00 do 20,00 hodin</w:t>
      </w:r>
    </w:p>
    <w:p w:rsidR="00A8539E" w:rsidRPr="00A57C4F" w:rsidRDefault="00A8539E" w:rsidP="00A8539E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 xml:space="preserve">Návštěvníci jsou povinni opustit pohřebiště před koncem uzavírací doby bez </w:t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upozornění.</w:t>
      </w:r>
    </w:p>
    <w:p w:rsidR="00A8539E" w:rsidRPr="00A57C4F" w:rsidRDefault="00A8539E" w:rsidP="00A8539E">
      <w:pPr>
        <w:pStyle w:val="Odstavecseseznamem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Provozovatel pohřebiště může z oprávněných důvodů přístup veřejnosti na pohřebiště nebo jeho část dočasně omezit nebo zakázat, např. v době provádění terénních úprav, exhumací, za sněhu, náledí apod., pokud nelze zajistit bezpečnost návštěvníků.</w:t>
      </w:r>
    </w:p>
    <w:p w:rsidR="00A8539E" w:rsidRPr="00A57C4F" w:rsidRDefault="00A8539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4</w:t>
      </w:r>
    </w:p>
    <w:p w:rsidR="00A8539E" w:rsidRPr="00A57C4F" w:rsidRDefault="00A8539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Rozsah poskytovaných služeb</w:t>
      </w:r>
    </w:p>
    <w:p w:rsidR="00A8539E" w:rsidRPr="00A57C4F" w:rsidRDefault="00A8539E" w:rsidP="00A8539E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pohřebišti obce Mičovice jsou provozovatelem poskytovány tyto služby:</w:t>
      </w:r>
    </w:p>
    <w:p w:rsidR="00A8539E" w:rsidRPr="00A57C4F" w:rsidRDefault="00A8539E" w:rsidP="00A8539E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Základní – nezbytné pro řádný chod pohřebiště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nájem místa – pro hroby, hrobky k uložení lidských pozůstatků a pro uložení lidských ostatků v urnách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správa pohřebiště a objektů na pohřebišti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vedení předepsané evidence související s provozováním </w:t>
      </w:r>
      <w:r w:rsidR="00A228EF" w:rsidRPr="00A57C4F">
        <w:rPr>
          <w:sz w:val="24"/>
          <w:szCs w:val="24"/>
        </w:rPr>
        <w:t>po</w:t>
      </w:r>
      <w:r w:rsidRPr="00A57C4F">
        <w:rPr>
          <w:sz w:val="24"/>
          <w:szCs w:val="24"/>
        </w:rPr>
        <w:t>hřebiště a uzavírání nájemních smluv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zveřejňování informací v místě na daném pohřebišti obvyklém pro potřeby nájemců a veřejnosti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vykonávání dozoru nad dodržováním řádu pohřebiště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běžná údržba pohřebiště včetně zeleně, oplocení a inženýrských sítí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běžná údržby páteřních komunikací a zpevněných ploch (v létě i v zimě)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</w:t>
      </w:r>
      <w:r w:rsidR="00A228EF" w:rsidRPr="00A57C4F">
        <w:rPr>
          <w:sz w:val="24"/>
          <w:szCs w:val="24"/>
        </w:rPr>
        <w:t>ajišťování svozu, odvozu a likvi</w:t>
      </w:r>
      <w:r w:rsidRPr="00A57C4F">
        <w:rPr>
          <w:sz w:val="24"/>
          <w:szCs w:val="24"/>
        </w:rPr>
        <w:t>dace odpadů</w:t>
      </w:r>
    </w:p>
    <w:p w:rsidR="00A8539E" w:rsidRPr="00A57C4F" w:rsidRDefault="00A8539E" w:rsidP="00A8539E">
      <w:pPr>
        <w:pStyle w:val="Odstavecseseznamem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běžná údržba</w:t>
      </w:r>
      <w:r w:rsidR="00A228EF" w:rsidRPr="00A57C4F">
        <w:rPr>
          <w:sz w:val="24"/>
          <w:szCs w:val="24"/>
        </w:rPr>
        <w:t xml:space="preserve"> a úprava vojenských a čestných hrbů a hrobových míst neudržovaných a opuštěných do doby jejich likvidace</w:t>
      </w:r>
    </w:p>
    <w:p w:rsidR="00A228EF" w:rsidRPr="00A57C4F" w:rsidRDefault="00A228EF" w:rsidP="00A228EF">
      <w:pPr>
        <w:pStyle w:val="Odstavecseseznamem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pohřebišti jsou prostřednictvím pohřebních služeb na požadavek nájemce nebo vlastníka hrobového zařízení či hrobky poskytovány služby, které nejsou kalkulovány v ceně nájmu:</w:t>
      </w:r>
    </w:p>
    <w:p w:rsidR="00A228EF" w:rsidRPr="00A57C4F" w:rsidRDefault="00A228EF" w:rsidP="00A228EF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pohřbívání do hrobů a hrobek</w:t>
      </w:r>
    </w:p>
    <w:p w:rsidR="00A228EF" w:rsidRPr="00A57C4F" w:rsidRDefault="00A228EF" w:rsidP="00A228EF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výkopové práce související s pohřbením, nebo exhumací</w:t>
      </w:r>
    </w:p>
    <w:p w:rsidR="00A228EF" w:rsidRPr="00A57C4F" w:rsidRDefault="00A228EF" w:rsidP="00A228EF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ukládání zpopelněných lidských ostatků</w:t>
      </w:r>
    </w:p>
    <w:p w:rsidR="00A228EF" w:rsidRPr="00A57C4F" w:rsidRDefault="00A228EF" w:rsidP="00A228EF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lastRenderedPageBreak/>
        <w:t>provádění exhumací</w:t>
      </w:r>
    </w:p>
    <w:p w:rsidR="00A228EF" w:rsidRPr="00A57C4F" w:rsidRDefault="00A228EF" w:rsidP="00A228EF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Zemřelí mohou být na pohřebišti pohřbeni pouz</w:t>
      </w:r>
      <w:r w:rsidR="00A57C4F">
        <w:rPr>
          <w:sz w:val="24"/>
          <w:szCs w:val="24"/>
        </w:rPr>
        <w:t xml:space="preserve">e se souhlasem provozovatele </w:t>
      </w:r>
      <w:r w:rsidR="00A57C4F">
        <w:rPr>
          <w:sz w:val="24"/>
          <w:szCs w:val="24"/>
        </w:rPr>
        <w:tab/>
      </w:r>
      <w:r w:rsidR="00A57C4F">
        <w:rPr>
          <w:sz w:val="24"/>
          <w:szCs w:val="24"/>
        </w:rPr>
        <w:tab/>
      </w:r>
      <w:r w:rsidRPr="00A57C4F">
        <w:rPr>
          <w:sz w:val="24"/>
          <w:szCs w:val="24"/>
        </w:rPr>
        <w:t xml:space="preserve">pohřebiště. Po předložení listu o prohlídce zemřelého je vydáno povolení </w:t>
      </w:r>
      <w:r w:rsidR="00A57C4F">
        <w:rPr>
          <w:sz w:val="24"/>
          <w:szCs w:val="24"/>
        </w:rPr>
        <w:tab/>
      </w:r>
      <w:r w:rsidR="00A57C4F">
        <w:rPr>
          <w:sz w:val="24"/>
          <w:szCs w:val="24"/>
        </w:rPr>
        <w:tab/>
        <w:t>k výkopu hrobu.</w:t>
      </w:r>
    </w:p>
    <w:p w:rsidR="00A228EF" w:rsidRPr="00A57C4F" w:rsidRDefault="00A228EF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5</w:t>
      </w:r>
    </w:p>
    <w:p w:rsidR="00A228EF" w:rsidRPr="00A57C4F" w:rsidRDefault="00A228EF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Povinnosti návštěvníků pohřebiště – pořádek na pohřebišti</w:t>
      </w:r>
    </w:p>
    <w:p w:rsidR="00A228EF" w:rsidRPr="00A57C4F" w:rsidRDefault="00A228EF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Návštěvníci pohřebiště jsou povinni se zdržet takového jednání, které by se dotýkalo důstojnosti zemřelých, nebo mravního cítění pozůstalých a veřejnosti: tzn. zejména chovat se hlučně, pouštět přenosné nosiče zvuku, požívat alkoholické nápoje, omamné a psychotropní látky, odhazovat odpadky mimo nádob k tomu určených a používat prostory pohřebiště a jeho vybavení k jiným účelům, než k jakým jsou určeny.</w:t>
      </w:r>
    </w:p>
    <w:p w:rsidR="00A228EF" w:rsidRPr="00A57C4F" w:rsidRDefault="00A228EF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Dětem do 10 let věku je dovolen vstup na pohřebiště pouze v doprovodu dospělých osob</w:t>
      </w:r>
      <w:r w:rsidR="00A2324C" w:rsidRPr="00A57C4F">
        <w:rPr>
          <w:sz w:val="24"/>
          <w:szCs w:val="24"/>
        </w:rPr>
        <w:t>.</w:t>
      </w:r>
    </w:p>
    <w:p w:rsidR="00A228EF" w:rsidRPr="00A57C4F" w:rsidRDefault="00A228EF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pohřebišti není dovolena jízda na kolech, koloběžkách, kolečkových bruslích, skateboardech a jiných prostředcích s </w:t>
      </w:r>
      <w:r w:rsidR="00A2324C" w:rsidRPr="00A57C4F">
        <w:rPr>
          <w:sz w:val="24"/>
          <w:szCs w:val="24"/>
        </w:rPr>
        <w:t>výjimkou</w:t>
      </w:r>
      <w:r w:rsidRPr="00A57C4F">
        <w:rPr>
          <w:sz w:val="24"/>
          <w:szCs w:val="24"/>
        </w:rPr>
        <w:t xml:space="preserve"> vozíků invalidních občanů</w:t>
      </w:r>
      <w:r w:rsidR="00A2324C" w:rsidRPr="00A57C4F">
        <w:rPr>
          <w:sz w:val="24"/>
          <w:szCs w:val="24"/>
        </w:rPr>
        <w:t>.</w:t>
      </w:r>
    </w:p>
    <w:p w:rsidR="00A228EF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Vozidla (s výji</w:t>
      </w:r>
      <w:r w:rsidR="00A228EF" w:rsidRPr="00A57C4F">
        <w:rPr>
          <w:sz w:val="24"/>
          <w:szCs w:val="24"/>
        </w:rPr>
        <w:t>mkou invalidních vozíků) mohou na pohřebiště vjíždět a zdržovat se zde pouze s prokazatelným souhlasem správce pohřebiště a pouze ve výjimečných případech.</w:t>
      </w:r>
    </w:p>
    <w:p w:rsidR="00A228EF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Pro </w:t>
      </w:r>
      <w:r w:rsidR="00A228EF" w:rsidRPr="00A57C4F">
        <w:rPr>
          <w:sz w:val="24"/>
          <w:szCs w:val="24"/>
        </w:rPr>
        <w:t>parkování vozidel návštěvníků pohřebiště a účastníků smutečních obř</w:t>
      </w:r>
      <w:r w:rsidRPr="00A57C4F">
        <w:rPr>
          <w:sz w:val="24"/>
          <w:szCs w:val="24"/>
        </w:rPr>
        <w:t>adů je určena plocha mimo oploc</w:t>
      </w:r>
      <w:r w:rsidR="00A228EF" w:rsidRPr="00A57C4F">
        <w:rPr>
          <w:sz w:val="24"/>
          <w:szCs w:val="24"/>
        </w:rPr>
        <w:t>enou část pohřebiště. Užívání tohoto parkoviště k podnikatelské činnosti nebo reklamě je zakázáno</w:t>
      </w:r>
      <w:r w:rsidRPr="00A57C4F">
        <w:rPr>
          <w:sz w:val="24"/>
          <w:szCs w:val="24"/>
        </w:rPr>
        <w:t>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 hygienických důvodů není dovoleno na pohřebišti pít vodu z vodovodních výpustí a studní. Rovněž není dovoleno tuto vodu odnášet v náhradních obalech mimo pohřebiště. Tato voda je určena k provozním účelům správce pohřebiště a na zalévání zeleně při údržbě zeleně na pronajatých hrobových místech.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Svítidla mohou návštěvníci a nájemci na pohřebišti rozsvěcovat jen pokud jsou vhodným způsobem zabezpečena proti vzniku požáru.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Ukládání nádob, nářadí, jiných předmět, včetně dílů hrobového zařízení na zelené pásy a místa kolem hrobových míst není dovoleno. Nádoby na odpadky na pohřebišti souží jen pro ukládání odpadu z pohřebiště.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Návštěvníkům je zakázáno provádět jakékoli zásahy do vzrostlé zeleně na pohřebišti.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pohřebišti je povoleno provádět práce pouze v takovém rozsahu a způsobem, který stanoví tento řád a provozovatel.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Smuteční obřadní síň slouží k obřadům pro rozloučení s lidskými pozůstatky v konečné rak</w:t>
      </w:r>
      <w:r w:rsidR="00413391">
        <w:rPr>
          <w:sz w:val="24"/>
          <w:szCs w:val="24"/>
        </w:rPr>
        <w:t>v</w:t>
      </w:r>
      <w:r w:rsidRPr="00A57C4F">
        <w:rPr>
          <w:sz w:val="24"/>
          <w:szCs w:val="24"/>
        </w:rPr>
        <w:t>i před uložením do hrobu, hrobky, nebo odvozem ke zpopelnění, nebo k rozloučení církve, za rovných podmínek. Provozní doba smuteční obřadní síně se upravuje podle potřeby objednatelů, kapacity obřadů a provozních možností správce. Smuteční síň lze užívat za úplatu dle schváleného usnesení rady obce.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Všechny osoby vykonávající činnosti související se zajištěním řádného provozu pohřebiště, jsou povinni tak činit v souladu se zákonem o pohřebnictví a ostatními právními normami, upravujícími takovou činnost, dodržovat tento řád, a to vždy </w:t>
      </w:r>
      <w:r w:rsidRPr="00A57C4F">
        <w:rPr>
          <w:sz w:val="24"/>
          <w:szCs w:val="24"/>
        </w:rPr>
        <w:lastRenderedPageBreak/>
        <w:t>s předchozím souhlasem provozovatele pohřebiště, je-li ho dle tohoto řádu potřeba.</w:t>
      </w:r>
    </w:p>
    <w:p w:rsidR="00A2324C" w:rsidRPr="00A57C4F" w:rsidRDefault="00A2324C" w:rsidP="00A228EF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pohřebišti je dovoleno umístění reklam pouze na vyhrazených místech, po předchozím souhlasu provozovatele pohřebiště. Není dovoleno umístění reklam na stromech, zařízeních pohřebiště ani na hrobových místech a jejich zařízení.</w:t>
      </w:r>
    </w:p>
    <w:p w:rsidR="00A2324C" w:rsidRPr="00A57C4F" w:rsidRDefault="00A2324C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6</w:t>
      </w:r>
    </w:p>
    <w:p w:rsidR="00A2324C" w:rsidRPr="00A57C4F" w:rsidRDefault="00A2324C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Povinnosti a činnost provozovatele pohřebiště</w:t>
      </w:r>
    </w:p>
    <w:p w:rsidR="00B80FA3" w:rsidRPr="00A57C4F" w:rsidRDefault="00B80FA3" w:rsidP="00A2324C">
      <w:p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Provozovatel pohřebiště je povinen zejména: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Provozovat pohřebiště v souladu se zákonem o pohřebnictví, tímto řádem a zvláštními právními předpisy.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Stanovit stejné podmínky pro sjednání nájmu hrobového místa dle typu pro každého nájemce.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Vést evidenci související s provozováním pohřebiště v rozsahu dle § 21 zákona o pohřebnictví průkazně, pravdivě a čitelně v elektronické podobě případně ve formě svázané knihy. Zápisy se provádějí bez zbytečného odkladu.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Současně je povinen udržovat aktuální plán pohřebiště s vedením evidence volných hrobových míst. Zájemcům o uzavření nájemní smlouvy je povinen na jejich žádost nechat nahlédnout do plánu pohřebiště a evidence volných míst.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Ukládat Listy o prohlídce zemřelého i doklady o zpopelnění (v případě, že byly předány) v samostatných pořadačích po dobu 3 let po skončení doby nájmu, s následnou archivací. 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případě zákazu pohřbívání bezodkladně písemně informovat nájemce hrobových míst, pokud je mu známa jejich adresa a současně informovat veřejnost o tomto zákazu v místě na daném pohřebišti obvyklém.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případě rušení pohřebiště provozovatel postupuje dle § 24 zákona o pohřebnictví a je bezodkladně povinen vůči zúčastněným osobám a veřejnosti splnit veškerou informační povinnost.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Připravit k pronájmu nová místa pro hroby, hrobky, urnová místa apod. (Označit schématickým plánkem, číselně označit, vyčisti</w:t>
      </w:r>
      <w:r w:rsidR="00413391">
        <w:rPr>
          <w:sz w:val="24"/>
          <w:szCs w:val="24"/>
        </w:rPr>
        <w:t>t</w:t>
      </w:r>
      <w:r w:rsidRPr="00A57C4F">
        <w:rPr>
          <w:sz w:val="24"/>
          <w:szCs w:val="24"/>
        </w:rPr>
        <w:t>) a to v částech k tomu určených. Pronajímat tato místa a provádět obnovu nájmu zájemcům za podmínek, stanovených zákonem a řádem tak, aby vznikly ucelené řady, oddíly, či skupiny hrobových míst stejného charakteru a rozměrů.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Novým žadatelům přiděluje přednostně volná hrobová místa, v již </w:t>
      </w:r>
      <w:r w:rsidR="007B72F2" w:rsidRPr="00A57C4F">
        <w:rPr>
          <w:sz w:val="24"/>
          <w:szCs w:val="24"/>
        </w:rPr>
        <w:t>existujících skupiná</w:t>
      </w:r>
      <w:r w:rsidRPr="00A57C4F">
        <w:rPr>
          <w:sz w:val="24"/>
          <w:szCs w:val="24"/>
        </w:rPr>
        <w:t>ch, vyklizená od hrobových zařízení předchozích nájemců.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Zajišťovat běžnou údržbu veřejné zeleně na pohřebišti podle platných předpisů a pokynů příslušného správního orgánu, provádět běžnou údržbu cest a chodníků, oplocení, společných zařízení a inženýrských sítí, dbát na úpravu pohřebiště, zajišťovat návrhy na rozvoj, modernizaci a opravy pohřebiště.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Zajišťovat likvidaci odpadů z pohřebiště předepsaným způsobem včetně jejich základního třídění.</w:t>
      </w:r>
    </w:p>
    <w:p w:rsidR="00B80FA3" w:rsidRPr="00A57C4F" w:rsidRDefault="00B80FA3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Zabezpečovat pořádek a čistotu na pohřebišti </w:t>
      </w:r>
      <w:r w:rsidR="007B72F2" w:rsidRPr="00A57C4F">
        <w:rPr>
          <w:sz w:val="24"/>
          <w:szCs w:val="24"/>
        </w:rPr>
        <w:t>včetně údržby opuštěných hrobových míst, společných hrobů a vyhrazených ploch.</w:t>
      </w:r>
    </w:p>
    <w:p w:rsidR="007B72F2" w:rsidRPr="00A57C4F" w:rsidRDefault="007B72F2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lastRenderedPageBreak/>
        <w:t>Umožnit v souladu s § 4 a) zákona o pohřebnictví oprávněným osobám manipulaci se z</w:t>
      </w:r>
      <w:r w:rsidR="005E48E5" w:rsidRPr="00A57C4F">
        <w:rPr>
          <w:sz w:val="24"/>
          <w:szCs w:val="24"/>
        </w:rPr>
        <w:t>e</w:t>
      </w:r>
      <w:r w:rsidRPr="00A57C4F">
        <w:rPr>
          <w:sz w:val="24"/>
          <w:szCs w:val="24"/>
        </w:rPr>
        <w:t>tlelými a nez</w:t>
      </w:r>
      <w:r w:rsidR="005E48E5" w:rsidRPr="00A57C4F">
        <w:rPr>
          <w:sz w:val="24"/>
          <w:szCs w:val="24"/>
        </w:rPr>
        <w:t>e</w:t>
      </w:r>
      <w:r w:rsidRPr="00A57C4F">
        <w:rPr>
          <w:sz w:val="24"/>
          <w:szCs w:val="24"/>
        </w:rPr>
        <w:t>tlelými ostatky v rámci pohřebiště nebo provedení exhumace za podmínek stanovených zákonem o pohřebnictví a tímto řádem.</w:t>
      </w:r>
    </w:p>
    <w:p w:rsidR="007B72F2" w:rsidRPr="00A57C4F" w:rsidRDefault="007B72F2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Písemně upozornit nájemce na skončení sjednané doby nájmu nejméně 90 dnů před jejím skončením. Není-li mu trvalý pobyt nebo sídlo nájemce znám, uveřejní tuto informaci v místě na daném pohřebišti obvyklém, nejméně však 60 dnů před skončením sjednané doby nájmu.</w:t>
      </w:r>
    </w:p>
    <w:p w:rsidR="007B72F2" w:rsidRPr="00A57C4F" w:rsidRDefault="007B72F2" w:rsidP="00B80FA3">
      <w:pPr>
        <w:pStyle w:val="Odstavecseseznamem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Během doby trvání nájmu umožnit k hrobovému místu přístup a zdržet se jakýchkoli zásahů do hrobového místa. Toto ustanovení se nevztahuje na případy, kdy je nezbytné bezodkladně zajistit bezpečný provoz pohřebiště, a to na nezbytně nutnou dobu.</w:t>
      </w:r>
    </w:p>
    <w:p w:rsidR="007B72F2" w:rsidRPr="00A57C4F" w:rsidRDefault="007B72F2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7</w:t>
      </w:r>
    </w:p>
    <w:p w:rsidR="00A57C4F" w:rsidRDefault="00A57C4F" w:rsidP="00A57C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Stanovení tlecí doby</w:t>
      </w:r>
    </w:p>
    <w:p w:rsidR="003E5819" w:rsidRPr="00A57C4F" w:rsidRDefault="005B1F36" w:rsidP="00A57C4F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Tlecí doba je </w:t>
      </w:r>
      <w:r w:rsidR="005E48E5" w:rsidRPr="00A57C4F">
        <w:rPr>
          <w:sz w:val="24"/>
          <w:szCs w:val="24"/>
        </w:rPr>
        <w:t>stanovena</w:t>
      </w:r>
      <w:r w:rsidR="00081C18" w:rsidRPr="00A57C4F">
        <w:rPr>
          <w:sz w:val="24"/>
          <w:szCs w:val="24"/>
        </w:rPr>
        <w:t xml:space="preserve"> pro uložení lidských pozůstatků </w:t>
      </w:r>
      <w:r w:rsidR="00413391">
        <w:rPr>
          <w:sz w:val="24"/>
          <w:szCs w:val="24"/>
        </w:rPr>
        <w:t>a ostatků</w:t>
      </w:r>
      <w:r w:rsidR="00081C18" w:rsidRPr="00A57C4F">
        <w:rPr>
          <w:sz w:val="24"/>
          <w:szCs w:val="24"/>
        </w:rPr>
        <w:t xml:space="preserve"> v délce minimálně 10 let.</w:t>
      </w:r>
    </w:p>
    <w:p w:rsidR="003E5819" w:rsidRPr="00A57C4F" w:rsidRDefault="003E5819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8</w:t>
      </w:r>
    </w:p>
    <w:p w:rsidR="003E5819" w:rsidRPr="00A57C4F" w:rsidRDefault="003E5819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Užívání hrobového místa</w:t>
      </w:r>
    </w:p>
    <w:p w:rsidR="003E5819" w:rsidRPr="00A57C4F" w:rsidRDefault="003E5819" w:rsidP="003E5819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Nájem hrobového místa (dále jen „nájem“) vzniká na základě smlouvy o nájmu hrobového místa uzavřené mezi pronajímatelem – obcí Mičovice a nájemcem</w:t>
      </w:r>
      <w:r w:rsidR="00E72C2E" w:rsidRPr="00A57C4F">
        <w:rPr>
          <w:sz w:val="24"/>
          <w:szCs w:val="24"/>
        </w:rPr>
        <w:t xml:space="preserve"> (dále jen „smlouva o nájmu“). Smlouva o nájmu musí mít písemnou formu a musí obsahovat určení druhu hrobového místa, jeho rozměry, dobu trvání nájmu, výši nájemného a výši ceny za služby spojené s nájmem.</w:t>
      </w:r>
    </w:p>
    <w:p w:rsidR="00E72C2E" w:rsidRPr="00A57C4F" w:rsidRDefault="009E2E62" w:rsidP="003E5819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žádný nájemce o nájem nemá nárok na okupaci opuštěného hrobového místa, nebo na jiné, individuální umístění hrobu a hrobového zařízení v rámci hrobového místa.</w:t>
      </w:r>
    </w:p>
    <w:p w:rsidR="009E2E62" w:rsidRPr="00A57C4F" w:rsidRDefault="009E2E62" w:rsidP="003E5819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K uzavření smlouvy o nájmu je nájemce povinen poskytnout pronajímateli tyto údaje:</w:t>
      </w:r>
    </w:p>
    <w:p w:rsidR="009E2E62" w:rsidRPr="00A57C4F" w:rsidRDefault="009E2E62" w:rsidP="009E2E62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jméno, příjmení, adresu místa trvalého pobytu a datum narození, jde-li o fyzickou osobu, nebo název firmy, sídlo a identifikační číslo, jde-li o právnickou osobu</w:t>
      </w:r>
    </w:p>
    <w:p w:rsidR="009E2E62" w:rsidRPr="00A57C4F" w:rsidRDefault="009E2E62" w:rsidP="009E2E62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údaje o hrobce, náhrobku a hrobovém zařízení daného hrobového místa</w:t>
      </w:r>
    </w:p>
    <w:p w:rsidR="009E2E62" w:rsidRPr="00A57C4F" w:rsidRDefault="009E2E62" w:rsidP="009E2E62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údaje o vlastníku hrobky, náhrobku a hrobového zařízení daného hrobového místa vlastníkem nájemce, a to nejméně v rozsahu jméno, příjmení, adresa místa trvalého pobytu a datum narození</w:t>
      </w:r>
    </w:p>
    <w:p w:rsidR="009E2E62" w:rsidRPr="00A57C4F" w:rsidRDefault="009E2E62" w:rsidP="009E2E62">
      <w:pPr>
        <w:pStyle w:val="Odstavecseseznamem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na žádost nájemce může být smlouvy doplněna o osoby, které budou po smrti nájemce na základě určené posloupnosti pokračovat v nájmu. V takovém případě je nájemce povinen poskytnout pronajímateli tyto údaje: jméno, příjmení, adresa místa trvalého pobytu a datum narození.</w:t>
      </w:r>
    </w:p>
    <w:p w:rsidR="009E2E62" w:rsidRPr="00A57C4F" w:rsidRDefault="009E2E62" w:rsidP="009E2E62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lastRenderedPageBreak/>
        <w:t>Změny výše uvedených údajů a skutečností potřebných pro vedení evidence veřejného pohřebiště je nájemce i vlastník povinen bez zbytečného odkladu oznámit provozovateli.</w:t>
      </w:r>
    </w:p>
    <w:p w:rsidR="009E2E62" w:rsidRPr="00A57C4F" w:rsidRDefault="00A04739" w:rsidP="009E2E62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V případě, že se jedná o nájem </w:t>
      </w:r>
      <w:r w:rsidR="00B145CE" w:rsidRPr="00A57C4F">
        <w:rPr>
          <w:sz w:val="24"/>
          <w:szCs w:val="24"/>
        </w:rPr>
        <w:t>hrobového místa v podobě hrobu, musí být doba, na níž se smlouva o nájmu uzavírá, stanovena tak, aby od pohřbení byla dodržena tlecí doba stanovená pro pohřebiště, na němž se hrob nachází, to je 10 let.</w:t>
      </w:r>
    </w:p>
    <w:p w:rsidR="00B145CE" w:rsidRPr="00A57C4F" w:rsidRDefault="00B145CE" w:rsidP="00B145CE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Podnájem hrobového místa je zakázán.</w:t>
      </w:r>
    </w:p>
    <w:p w:rsidR="00B145CE" w:rsidRPr="00A57C4F" w:rsidRDefault="00B145CE" w:rsidP="00B145CE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Platným uzavřením smlouvy o nájmu vzniká nájemci právo zřídit na pronajatém hrobovém místě hrob, hrobku nebo urnové místo, a to včetně vybudování náhrobku a hrobového zařízení (rám, krycí desky apod.) a vysázet květiny, to vše v souladu s obsahem smlouvy o nájmu, tímto řádem a pokyny provozovatele, s následnou možností uložit v tomto místě lidské pozůstatky a lidské ostatky.</w:t>
      </w:r>
    </w:p>
    <w:p w:rsidR="00B145CE" w:rsidRPr="00A57C4F" w:rsidRDefault="00B145CE" w:rsidP="00B145CE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Nájemní právo k hrobovému místu lze převést na třetí osobu pouze písemnou dohodou mezi pronajímatelem pohřebiště</w:t>
      </w:r>
      <w:r w:rsidR="00AA76FA" w:rsidRPr="00A57C4F">
        <w:rPr>
          <w:sz w:val="24"/>
          <w:szCs w:val="24"/>
        </w:rPr>
        <w:t xml:space="preserve">, původním nájemcem </w:t>
      </w:r>
      <w:r w:rsidRPr="00A57C4F">
        <w:rPr>
          <w:sz w:val="24"/>
          <w:szCs w:val="24"/>
        </w:rPr>
        <w:t>novým nájemcem na základě nové smlouvy o nájmu.</w:t>
      </w:r>
      <w:r w:rsidR="00BA4CC4" w:rsidRPr="00A57C4F">
        <w:rPr>
          <w:sz w:val="24"/>
          <w:szCs w:val="24"/>
        </w:rPr>
        <w:t xml:space="preserve"> </w:t>
      </w:r>
      <w:r w:rsidRPr="00A57C4F">
        <w:rPr>
          <w:sz w:val="24"/>
          <w:szCs w:val="24"/>
        </w:rPr>
        <w:t>Pokud původní vlastník hrobky, náhrobku, nebo hrobového zařízení převede vlastnické právo k těmto věcem na nového vlastníka, je povinen o této skutečnosti bezodkladně informovat pronajímatele veřejného pohřebiště a předložit pronajímateli pohřebiště prohlášení o převodu uvedených věcí do vlastnictví jiné osoby.</w:t>
      </w:r>
    </w:p>
    <w:p w:rsidR="00B145CE" w:rsidRPr="00A57C4F" w:rsidRDefault="00B145CE" w:rsidP="00B145CE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Nájemce je povinen vlastním nákladem zajišťovat údržbu pronajatého hrobového místa a hrobového zařízení či hrobky v následujícím rozsahu a způsobem:</w:t>
      </w:r>
    </w:p>
    <w:p w:rsidR="00B145CE" w:rsidRPr="00A57C4F" w:rsidRDefault="00B145CE" w:rsidP="00B145CE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nejpozději do 3 měsíců od pohřbení do hrobu zajistit úpravu pohřbívací plochy hro</w:t>
      </w:r>
      <w:r w:rsidR="00BA4CC4" w:rsidRPr="00A57C4F">
        <w:rPr>
          <w:sz w:val="24"/>
          <w:szCs w:val="24"/>
        </w:rPr>
        <w:t>b</w:t>
      </w:r>
      <w:r w:rsidRPr="00A57C4F">
        <w:rPr>
          <w:sz w:val="24"/>
          <w:szCs w:val="24"/>
        </w:rPr>
        <w:t xml:space="preserve">ového </w:t>
      </w:r>
      <w:r w:rsidR="00BA4CC4" w:rsidRPr="00A57C4F">
        <w:rPr>
          <w:sz w:val="24"/>
          <w:szCs w:val="24"/>
        </w:rPr>
        <w:t>m</w:t>
      </w:r>
      <w:r w:rsidRPr="00A57C4F">
        <w:rPr>
          <w:sz w:val="24"/>
          <w:szCs w:val="24"/>
        </w:rPr>
        <w:t>ísta</w:t>
      </w:r>
    </w:p>
    <w:p w:rsidR="00B145CE" w:rsidRPr="00A57C4F" w:rsidRDefault="00B145CE" w:rsidP="00B145CE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zajistit, aby plocha hrobového místa nezarůstala nevhodným porostem, který by narušoval svým vzhledem okolí, průběžně zajišťovat údržbu hrobek a hrobového zařízení na vlastní náklady</w:t>
      </w:r>
    </w:p>
    <w:p w:rsidR="00B145CE" w:rsidRPr="00A57C4F" w:rsidRDefault="00B145CE" w:rsidP="00B145CE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odst</w:t>
      </w:r>
      <w:r w:rsidR="00BA4CC4" w:rsidRPr="00A57C4F">
        <w:rPr>
          <w:sz w:val="24"/>
          <w:szCs w:val="24"/>
        </w:rPr>
        <w:t>r</w:t>
      </w:r>
      <w:r w:rsidRPr="00A57C4F">
        <w:rPr>
          <w:sz w:val="24"/>
          <w:szCs w:val="24"/>
        </w:rPr>
        <w:t>anit včas znehodnocené květinové a jiné dary, odpad z vyhořelých svíček a další předměty, které narušují estetický vzhled pohřebiště</w:t>
      </w:r>
    </w:p>
    <w:p w:rsidR="00B145CE" w:rsidRPr="00A57C4F" w:rsidRDefault="00B145CE" w:rsidP="00B145CE">
      <w:pPr>
        <w:pStyle w:val="Odstavecseseznamem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neprodleně zajistit opravu hrobového zařízení, pokud je narušena jeho stabilita </w:t>
      </w:r>
      <w:r w:rsidR="00AA76FA" w:rsidRPr="00A57C4F">
        <w:rPr>
          <w:sz w:val="24"/>
          <w:szCs w:val="24"/>
        </w:rPr>
        <w:t>a ohrožuje tím zdraví, životy, nebo majetek dalších osob. Pokud tak nájemce neučiní po uplynutí lhůty uvedené ve výzvě pronajímatele, je pronajímatel pohřebiště oprávněn zajistit bezpečnost na náklady a riziko nájemce hrobového místa</w:t>
      </w:r>
    </w:p>
    <w:p w:rsidR="00AA76FA" w:rsidRPr="00A57C4F" w:rsidRDefault="00A7123D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Právo nájmu hrobového místa přechází na osobu, kterou nájemce určil. Je-li nájemcem fyzická osoba a není-li přechod nájmu na určenou osobu možný, anebo neurčil-li nájemce nikoho, přechází právo nájmu na jeho manžela/manželku, není-li ho, na jeho děti, není-li jich, na jeho rodiče, není-li jich, na jeho sourozence</w:t>
      </w:r>
      <w:r w:rsidR="00263DF9" w:rsidRPr="00A57C4F">
        <w:rPr>
          <w:sz w:val="24"/>
          <w:szCs w:val="24"/>
        </w:rPr>
        <w:t>; nežijí-li, pak na jejich děti. Není-li přechod práva nájmu na žádnou z těchto osob možný, přechází právo nájmu na dědice zemřelého. Osoba, na niž právo nájmu přešlo, je povinna sdělit pronajímateli pohřebiště bez zbytečného odkladu údaje potřebné pro vedení evidence.</w:t>
      </w:r>
    </w:p>
    <w:p w:rsidR="00263DF9" w:rsidRPr="00A57C4F" w:rsidRDefault="00263DF9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Pronajímatel pohřebiště může odstoupit od smlouvy o nájmu, (s výjimkou smlouvy o nájmu hrobu, kde dosud neuplynula stanovená tlecí doba) jestliže nájemce neuhradí dlužné nájemné, nebo úhradu za služby spojené s nájem do 3 měsíců ode dne, kdy ho k tomu správce </w:t>
      </w:r>
      <w:r w:rsidR="00413391" w:rsidRPr="00A57C4F">
        <w:rPr>
          <w:sz w:val="24"/>
          <w:szCs w:val="24"/>
        </w:rPr>
        <w:t>písemně vyzval</w:t>
      </w:r>
      <w:r w:rsidRPr="00A57C4F">
        <w:rPr>
          <w:sz w:val="24"/>
          <w:szCs w:val="24"/>
        </w:rPr>
        <w:t>.</w:t>
      </w:r>
    </w:p>
    <w:p w:rsidR="00263DF9" w:rsidRPr="00A57C4F" w:rsidRDefault="00263DF9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Uložení konstrukce pro ukládání vykopané zeminy při výkopu vedlejšího hrobu a nutné kamenické práce na přilehlém hrobovém místě, to vše v odůvodněných </w:t>
      </w:r>
      <w:r w:rsidRPr="00A57C4F">
        <w:rPr>
          <w:sz w:val="24"/>
          <w:szCs w:val="24"/>
        </w:rPr>
        <w:lastRenderedPageBreak/>
        <w:t>případech a na nezbytně nutnou dobu, není omezením</w:t>
      </w:r>
      <w:r w:rsidR="005E0B0D" w:rsidRPr="00A57C4F">
        <w:rPr>
          <w:sz w:val="24"/>
          <w:szCs w:val="24"/>
        </w:rPr>
        <w:t xml:space="preserve"> práva nájemce ve smyslu § 25 zák. o pohřebnictví. Dojde-li k zásahu do hrobového místa, nebo zařízení a vznikne-li tímto škoda, je povinen hrobové místo uvést do původního stavu, nebo škodu nahradit ten, kdo škodu způsobil.</w:t>
      </w:r>
    </w:p>
    <w:p w:rsidR="005E0B0D" w:rsidRPr="00A57C4F" w:rsidRDefault="005E0B0D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Je zakázáno odkládat díly hrobového zařízení na sousední hrobová místa, nebo je opírat o sousední hrobová zařízení.</w:t>
      </w:r>
    </w:p>
    <w:p w:rsidR="005E0B0D" w:rsidRPr="00A57C4F" w:rsidRDefault="005E0B0D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Při užívání hrobového místa je nájemci zakázáno manipulovat s lidskými ostatky. Se zpopelněnými lidskými ostatky může nájemce manipulovat a ukládat je na pohřebiště pouze s vědomím provozovatele. Nájemce je povinen poskytnout prov</w:t>
      </w:r>
      <w:r w:rsidR="009E7E3A" w:rsidRPr="00A57C4F">
        <w:rPr>
          <w:sz w:val="24"/>
          <w:szCs w:val="24"/>
        </w:rPr>
        <w:t>ozovateli veškeré údaje, jejichž</w:t>
      </w:r>
      <w:r w:rsidRPr="00A57C4F">
        <w:rPr>
          <w:sz w:val="24"/>
          <w:szCs w:val="24"/>
        </w:rPr>
        <w:t xml:space="preserve"> vedení je předepsáno § 21 odst. 1 zákona o pohřebnictví.</w:t>
      </w:r>
    </w:p>
    <w:p w:rsidR="005E0B0D" w:rsidRPr="00A57C4F" w:rsidRDefault="005E0B0D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Nájemce je povinen strpět číselné označení hrobových míst provedené provozovatelem, tyto čísla přemisťovat, nepoškozovat a nepoužívat k jiným </w:t>
      </w:r>
      <w:r w:rsidR="009E7E3A" w:rsidRPr="00A57C4F">
        <w:rPr>
          <w:sz w:val="24"/>
          <w:szCs w:val="24"/>
        </w:rPr>
        <w:t>účelům. Nájemce je povin</w:t>
      </w:r>
      <w:r w:rsidRPr="00A57C4F">
        <w:rPr>
          <w:sz w:val="24"/>
          <w:szCs w:val="24"/>
        </w:rPr>
        <w:t>en strpět na hrobovém místě vhod</w:t>
      </w:r>
      <w:r w:rsidR="009E7E3A" w:rsidRPr="00A57C4F">
        <w:rPr>
          <w:sz w:val="24"/>
          <w:szCs w:val="24"/>
        </w:rPr>
        <w:t xml:space="preserve">ně umístěnou informaci týkající se </w:t>
      </w:r>
      <w:r w:rsidRPr="00A57C4F">
        <w:rPr>
          <w:sz w:val="24"/>
          <w:szCs w:val="24"/>
        </w:rPr>
        <w:t>upozornění nájemce na skončení doby nájmu či jiné oznámení.</w:t>
      </w:r>
    </w:p>
    <w:p w:rsidR="005E0B0D" w:rsidRPr="00A57C4F" w:rsidRDefault="009E7E3A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 zániku nájmu se lidské ostatky, o jejichž nové uložení bývalý nájemce nepožádal, ponechají na dosavadním místě. Při nájmu hrobového místa novému nájemci budou tyto lidské ostatky uloženy pod úroveň dna hrobu.</w:t>
      </w:r>
    </w:p>
    <w:p w:rsidR="009E7E3A" w:rsidRPr="00A57C4F" w:rsidRDefault="009E7E3A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Byl-li nájemce před ukončením nájmu prokazatelně vyzván k vyklizení hrobového místa od movitých i nemovitých věcí v souladu s § 2225 občanského zákoníku, předá nájemce hrobové místo vyklizené do 30 dnů od skončení nájmu. </w:t>
      </w:r>
      <w:r w:rsidR="00413391" w:rsidRPr="00A57C4F">
        <w:rPr>
          <w:sz w:val="24"/>
          <w:szCs w:val="24"/>
        </w:rPr>
        <w:t>Při</w:t>
      </w:r>
      <w:r w:rsidRPr="00A57C4F">
        <w:rPr>
          <w:sz w:val="24"/>
          <w:szCs w:val="24"/>
        </w:rPr>
        <w:t xml:space="preserve"> likvidaci hrobového zařízení nebo hrobky si nájemce vezme vše, kromě uložených lidských ostatků, ať zpopelněných nebo nezpopelněných, protože v souladu s § 493 občanského zákoníku lidské ostatky nejsou věcí.</w:t>
      </w:r>
    </w:p>
    <w:p w:rsidR="009E7E3A" w:rsidRPr="00A57C4F" w:rsidRDefault="009E7E3A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Při nesplnění bodu 17 je po zániku nájemní smlouvy hrobové zařízení umístěno na hrobovém místě bez právního důvodu, tedy neoprávněně. Není-li smlouvou o nájmu stanoveno jinak a hrobové zařízení není na výzvu odstraněno, pak má provozovat</w:t>
      </w:r>
      <w:r w:rsidR="00E66EAE" w:rsidRPr="00A57C4F">
        <w:rPr>
          <w:sz w:val="24"/>
          <w:szCs w:val="24"/>
        </w:rPr>
        <w:t>e</w:t>
      </w:r>
      <w:r w:rsidRPr="00A57C4F">
        <w:rPr>
          <w:sz w:val="24"/>
          <w:szCs w:val="24"/>
        </w:rPr>
        <w:t>le pohřebiště možnost obrátit se na soud nebo svépomocí hrobové zařízení odstranit. Náklady na odst</w:t>
      </w:r>
      <w:r w:rsidR="00E66EAE" w:rsidRPr="00A57C4F">
        <w:rPr>
          <w:sz w:val="24"/>
          <w:szCs w:val="24"/>
        </w:rPr>
        <w:t>r</w:t>
      </w:r>
      <w:r w:rsidRPr="00A57C4F">
        <w:rPr>
          <w:sz w:val="24"/>
          <w:szCs w:val="24"/>
        </w:rPr>
        <w:t>anění hrobového zařízení ponese vlastník hrobového zařízení.</w:t>
      </w:r>
    </w:p>
    <w:p w:rsidR="009E7E3A" w:rsidRPr="00A57C4F" w:rsidRDefault="009E7E3A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Pokud se hrobka nebo hrobové zařízení st</w:t>
      </w:r>
      <w:r w:rsidR="00E66EAE" w:rsidRPr="00A57C4F">
        <w:rPr>
          <w:sz w:val="24"/>
          <w:szCs w:val="24"/>
        </w:rPr>
        <w:t>a</w:t>
      </w:r>
      <w:r w:rsidRPr="00A57C4F">
        <w:rPr>
          <w:sz w:val="24"/>
          <w:szCs w:val="24"/>
        </w:rPr>
        <w:t>ly opuštěnou po účinnosti zákona č. 89/2012 Sb., občanský zákoník (tj. od 1. ledna 2014) a jsou</w:t>
      </w:r>
      <w:r w:rsidR="00E66EAE" w:rsidRPr="00A57C4F">
        <w:rPr>
          <w:sz w:val="24"/>
          <w:szCs w:val="24"/>
        </w:rPr>
        <w:t xml:space="preserve"> zároveň stavbou, bude od 1. ledna 2024 provozovatelem pohřebiště provedena nabídka příslušnému Úřadu pro zastupování státu ve věcech majetkových.</w:t>
      </w:r>
    </w:p>
    <w:p w:rsidR="00E66EAE" w:rsidRPr="00A57C4F" w:rsidRDefault="00E66EAE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Pokud byla hrobka opuštěna před účinností zákona č. 89/2012 Sb., občanský zákoník (tj. před 1. lednem 2014) bude zaevidována do majetku obce, která je provozovatelem pohřebiště (viz ustanovení § 996 zák. č. 89/2012 Sb., občanský zákoník). Oznámení o novém vlastníkovi hrobky, která se tímto postupem stala hrobkou obecní, se zveřejní vhodným způsobem na veřejném pohřebišti. U opuštěného hrobového zařízení probíhá postup shodně.</w:t>
      </w:r>
    </w:p>
    <w:p w:rsidR="00E66EAE" w:rsidRDefault="00E66EAE" w:rsidP="00AA76FA">
      <w:pPr>
        <w:pStyle w:val="Odstavecseseznamem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Některá hrobová zařízení nebo hrobky lze provozovateli pohřebiště darovat písemnou darovací smlouvou po vzájemné dohodě.</w:t>
      </w:r>
    </w:p>
    <w:p w:rsidR="00A57C4F" w:rsidRDefault="00A57C4F" w:rsidP="00A57C4F">
      <w:pPr>
        <w:spacing w:line="240" w:lineRule="auto"/>
        <w:rPr>
          <w:sz w:val="24"/>
          <w:szCs w:val="24"/>
        </w:rPr>
      </w:pPr>
    </w:p>
    <w:p w:rsidR="00A57C4F" w:rsidRPr="00A57C4F" w:rsidRDefault="00A57C4F" w:rsidP="00A57C4F">
      <w:pPr>
        <w:spacing w:line="240" w:lineRule="auto"/>
        <w:rPr>
          <w:sz w:val="24"/>
          <w:szCs w:val="24"/>
        </w:rPr>
      </w:pPr>
    </w:p>
    <w:p w:rsidR="00E66EAE" w:rsidRPr="00A57C4F" w:rsidRDefault="00E66EA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lastRenderedPageBreak/>
        <w:t>Článek 9</w:t>
      </w:r>
    </w:p>
    <w:p w:rsidR="00E66EAE" w:rsidRPr="00A57C4F" w:rsidRDefault="00E66EAE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Podmínky zřízení hrobky, náhrobku, hrobového zařízení</w:t>
      </w:r>
    </w:p>
    <w:p w:rsidR="00E66EAE" w:rsidRPr="00A57C4F" w:rsidRDefault="005D1883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Ke zhotovení hrobky, náhrobku nebo hrobového zařízení na pohřebišti, nebo úpravě již existujících je oprávněn pouze vlastník, nebo jím zmocněná osoba po prokazatelném předchozím souhlasu nájemce hrobového místa a provozovatele pohřebiště za jím stanovených podmínek.</w:t>
      </w:r>
    </w:p>
    <w:p w:rsidR="005D1883" w:rsidRPr="00A57C4F" w:rsidRDefault="005D1883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Podmínky ke zřízení hrobového zařízení (mimo hrobky) určuje provozovatel v rozsahu</w:t>
      </w:r>
    </w:p>
    <w:p w:rsidR="005D1883" w:rsidRPr="00A57C4F" w:rsidRDefault="005D1883" w:rsidP="005D1883">
      <w:pPr>
        <w:pStyle w:val="Odstavecseseznamem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určí rozměry, tvar hrobového zařízení, případně druh použitého materiálu, šířku uliček mezi hrobovým zařízením (min. 30 cm), způsob uložení zeminy a odpadu při zřizování hrobového zařízení, jeho opravách a likvidaci. Jednotlivé díly hrobového zařízení musí být mezi sebou pevně kotveny</w:t>
      </w:r>
    </w:p>
    <w:p w:rsidR="005D1883" w:rsidRPr="00A57C4F" w:rsidRDefault="005D1883" w:rsidP="005D1883">
      <w:pPr>
        <w:pStyle w:val="Odstavecseseznamem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základy musí odpovídat půdorysným rozměrům díla a být provedeny do nezamrzající hloubky 80 cm, dimenzovány se zřetelem na únosnost půdy a nesmí zasahovat do pohřbívací plochy)</w:t>
      </w:r>
    </w:p>
    <w:p w:rsidR="005D1883" w:rsidRPr="00A57C4F" w:rsidRDefault="005D1883" w:rsidP="005D1883">
      <w:pPr>
        <w:pStyle w:val="Odstavecseseznamem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základy památníků, náhrobků nebo stél musí být zhotoveny z dostatečně únosného materiálu, odolného proti působení povětrnosti např. z prostého betonu či železobetonu, kamenného, popř. cihelného zdiva</w:t>
      </w:r>
    </w:p>
    <w:p w:rsidR="005D1883" w:rsidRPr="00A57C4F" w:rsidRDefault="005D1883" w:rsidP="005D1883">
      <w:pPr>
        <w:pStyle w:val="Odstavecseseznamem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přední a zadní rámy hrobu musí být v jedné přímce s rámy sousedních hrobů</w:t>
      </w:r>
    </w:p>
    <w:p w:rsidR="005D1883" w:rsidRPr="00A57C4F" w:rsidRDefault="00D3317B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případě, že je místo na pohřebišti pronajato ke zřízení hrobky, je nájemce oprávněn zřídit hrobku způsobem, v rozsahu a za podmínek určených v povolení vydaném místě příslušným stavebním úřadem.</w:t>
      </w:r>
    </w:p>
    <w:p w:rsidR="00D3317B" w:rsidRPr="00A57C4F" w:rsidRDefault="00D3317B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průběhu zhotovování, údržby, oprav nebo odstraňování hrobky či hrobového zařízení na pohřebišti, odpovídá nájemce hrobového místa za udržování pořádku a za skladování potřebného materiálu na místech a způsobem určeným správcem pohřebiště. Odst</w:t>
      </w:r>
      <w:r w:rsidR="00926478" w:rsidRPr="00A57C4F">
        <w:rPr>
          <w:sz w:val="24"/>
          <w:szCs w:val="24"/>
        </w:rPr>
        <w:t>r</w:t>
      </w:r>
      <w:r w:rsidRPr="00A57C4F">
        <w:rPr>
          <w:sz w:val="24"/>
          <w:szCs w:val="24"/>
        </w:rPr>
        <w:t>aňovaný stavební materiál, náhrobky či jejich části, stejně tak i vykopanou zeminu je nájemce povinen nejpozdě</w:t>
      </w:r>
      <w:r w:rsidR="00926478" w:rsidRPr="00A57C4F">
        <w:rPr>
          <w:sz w:val="24"/>
          <w:szCs w:val="24"/>
        </w:rPr>
        <w:t xml:space="preserve">ji před přerušením práce téhož </w:t>
      </w:r>
      <w:r w:rsidRPr="00A57C4F">
        <w:rPr>
          <w:sz w:val="24"/>
          <w:szCs w:val="24"/>
        </w:rPr>
        <w:t>dne odvézt na svůj náklad. Při těchto pracích nesmí být pr</w:t>
      </w:r>
      <w:r w:rsidR="00926478" w:rsidRPr="00A57C4F">
        <w:rPr>
          <w:sz w:val="24"/>
          <w:szCs w:val="24"/>
        </w:rPr>
        <w:t>ů</w:t>
      </w:r>
      <w:r w:rsidRPr="00A57C4F">
        <w:rPr>
          <w:sz w:val="24"/>
          <w:szCs w:val="24"/>
        </w:rPr>
        <w:t>chodnost cest a uliček na pohřebišti omezována.</w:t>
      </w:r>
    </w:p>
    <w:p w:rsidR="00D3317B" w:rsidRPr="00A57C4F" w:rsidRDefault="00D3317B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Po skončení uvedených prací je nájemce povine na svůj náklad uvést okolí příslušného hrobového </w:t>
      </w:r>
      <w:r w:rsidR="00926478" w:rsidRPr="00A57C4F">
        <w:rPr>
          <w:sz w:val="24"/>
          <w:szCs w:val="24"/>
        </w:rPr>
        <w:t>místa a místa, která při práci z</w:t>
      </w:r>
      <w:r w:rsidRPr="00A57C4F">
        <w:rPr>
          <w:sz w:val="24"/>
          <w:szCs w:val="24"/>
        </w:rPr>
        <w:t>nečistil, do původního stavu, a to nejpozději do 48 hodin. Ukončení prací je nájemce povinen ohlásit provozovateli pohřebiště. Spolu s tím nahlásí změny hrobového zařízení zakládající povinnost změnit či doplnit předepsanou evidenci dle zákona o pohřebnictví. Totéž platí při likvidaci hrobového zařízení včetně nákladů a stavby hrobky.</w:t>
      </w:r>
    </w:p>
    <w:p w:rsidR="00D3317B" w:rsidRPr="00A57C4F" w:rsidRDefault="00D3317B" w:rsidP="005D1883">
      <w:pPr>
        <w:pStyle w:val="Odstavecseseznamem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Vlastník zařízení je oprávněn odstranit hrobové zařízení z pohřebiště po předchozím projednání s provozovatelem a nájemcem hrobového místa.</w:t>
      </w:r>
    </w:p>
    <w:p w:rsidR="00A57C4F" w:rsidRDefault="00A57C4F" w:rsidP="00D3317B">
      <w:pPr>
        <w:spacing w:line="240" w:lineRule="auto"/>
        <w:rPr>
          <w:sz w:val="24"/>
          <w:szCs w:val="24"/>
        </w:rPr>
      </w:pPr>
    </w:p>
    <w:p w:rsidR="00A57C4F" w:rsidRDefault="00A57C4F" w:rsidP="00D3317B">
      <w:pPr>
        <w:spacing w:line="240" w:lineRule="auto"/>
        <w:rPr>
          <w:sz w:val="24"/>
          <w:szCs w:val="24"/>
        </w:rPr>
      </w:pPr>
    </w:p>
    <w:p w:rsidR="00D3317B" w:rsidRPr="00A57C4F" w:rsidRDefault="00D3317B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lastRenderedPageBreak/>
        <w:t>Článek 10</w:t>
      </w:r>
    </w:p>
    <w:p w:rsidR="00D3317B" w:rsidRPr="00A57C4F" w:rsidRDefault="00D3317B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Ukládání lidských pozůstatků a exhumace lidských ostatků</w:t>
      </w:r>
    </w:p>
    <w:p w:rsidR="00926478" w:rsidRPr="00A57C4F" w:rsidRDefault="00926478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Otevřít hrob nebo hrobku na pohřebišti, ukládat do nich lidské pozůstatky nebo provádět exhumaci je oprávněn pouze provozovatel pohřební služby, který na základě smlouvy s </w:t>
      </w:r>
      <w:proofErr w:type="spellStart"/>
      <w:r w:rsidRPr="00A57C4F">
        <w:rPr>
          <w:sz w:val="24"/>
          <w:szCs w:val="24"/>
        </w:rPr>
        <w:t>vypravitelem</w:t>
      </w:r>
      <w:proofErr w:type="spellEnd"/>
      <w:r w:rsidRPr="00A57C4F">
        <w:rPr>
          <w:sz w:val="24"/>
          <w:szCs w:val="24"/>
        </w:rPr>
        <w:t xml:space="preserve"> pohřbu hodlá na pohřebišti pohřbít lidské pozůstatky (viz č. 11).</w:t>
      </w:r>
    </w:p>
    <w:p w:rsidR="00926478" w:rsidRPr="00A57C4F" w:rsidRDefault="00926478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Hroby pro ukládání lidských pozůstatků musí splňovat následující požadavky</w:t>
      </w:r>
    </w:p>
    <w:p w:rsidR="00926478" w:rsidRPr="00A57C4F" w:rsidRDefault="00926478" w:rsidP="00926478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jejich hloubka musí být u dospělých osob a dětí od 10 let nejméně 1,5 m, u dětí mladších 10 let nejméně 1,2m</w:t>
      </w:r>
    </w:p>
    <w:p w:rsidR="00926478" w:rsidRPr="00A57C4F" w:rsidRDefault="00926478" w:rsidP="00926478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dno hrobu musí ležet nad úrovní kolísání hladiny podzemní vody</w:t>
      </w:r>
    </w:p>
    <w:p w:rsidR="00926478" w:rsidRPr="00A57C4F" w:rsidRDefault="00926478" w:rsidP="00926478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boční vzdálenosti mezi jednotlivými hroby musí činit nejméně 30 cm</w:t>
      </w:r>
    </w:p>
    <w:p w:rsidR="00926478" w:rsidRPr="00A57C4F" w:rsidRDefault="00926478" w:rsidP="00926478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rakev s lidskými pozůstatky musí být bezprostředně po uložení do hrobu zasypána zkypřenou zeminou ve výši minimálně 1,2 m (vyjma hrobů zděných).</w:t>
      </w:r>
    </w:p>
    <w:p w:rsidR="00926478" w:rsidRPr="00A57C4F" w:rsidRDefault="00926478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Před uplynutím tlecí doby mohou být do téhož hrobu uloženy další lidské pozůstatky, pokud je možné je umístit nad úroveň naposledy pohřbených lidských ostatků a vrstva </w:t>
      </w:r>
      <w:proofErr w:type="spellStart"/>
      <w:r w:rsidRPr="00A57C4F">
        <w:rPr>
          <w:sz w:val="24"/>
          <w:szCs w:val="24"/>
        </w:rPr>
        <w:t>ulehlé</w:t>
      </w:r>
      <w:proofErr w:type="spellEnd"/>
      <w:r w:rsidRPr="00A57C4F">
        <w:rPr>
          <w:sz w:val="24"/>
          <w:szCs w:val="24"/>
        </w:rPr>
        <w:t xml:space="preserve"> zeminy nad rakví bude činit nejméně 1,0 m.</w:t>
      </w:r>
    </w:p>
    <w:p w:rsidR="00926478" w:rsidRPr="00A57C4F" w:rsidRDefault="00926478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Při přijímání lidských ostatků</w:t>
      </w:r>
      <w:r w:rsidR="00911175" w:rsidRPr="00A57C4F">
        <w:rPr>
          <w:sz w:val="24"/>
          <w:szCs w:val="24"/>
        </w:rPr>
        <w:t xml:space="preserve"> k pohřbení dbá provozovatel na to, aby převzetí nezpopelněných lidských ostatků bylo doloženo alespoň úmrtním listem zemřelého a průvodním dopisem s uvedením, o čí ostatky se jedná, odkud jsou (číslo hrobu a název pohřebiště) a v čí zájmu se exhumace a převoz prováděl. U urny postačí předložit doklad o zpopelnění, který obsahuje údaje shodné s identifikačním štítkem. Tyto dokumenty slo</w:t>
      </w:r>
      <w:r w:rsidR="007D6B61" w:rsidRPr="00A57C4F">
        <w:rPr>
          <w:sz w:val="24"/>
          <w:szCs w:val="24"/>
        </w:rPr>
        <w:t xml:space="preserve">uží i pro evidenci související </w:t>
      </w:r>
      <w:r w:rsidR="00911175" w:rsidRPr="00A57C4F">
        <w:rPr>
          <w:sz w:val="24"/>
          <w:szCs w:val="24"/>
        </w:rPr>
        <w:t>s provozováním pohřebiště.</w:t>
      </w:r>
    </w:p>
    <w:p w:rsidR="00911175" w:rsidRPr="00A57C4F" w:rsidRDefault="00911175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Zpopelněné lidské ostatky je možné uložit na pohřebišti vždy jen se souhlasem nájemce hrobového místa a provozovatele pohřebiště a to způsobem, který odpovídá podmínkám ukládání na daném pohřebišti. U hrobů zpravidla k nohám do niky – sklípku, jinak v ochranném obalu.</w:t>
      </w:r>
    </w:p>
    <w:p w:rsidR="00911175" w:rsidRPr="00A57C4F" w:rsidRDefault="00911175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Nezpopelněné i zpopelněné lidské ostatky mohou být exhumovány, tj. přemístěny nebo převezeny na jiné pohřebiště, pouze na písemnou a odůvodněnou žádost nájemce hrobového místa a nájemce nového hrobového místa na jiném pohřebišti, a to jen s písemným souhlasem provozovatele pohřebiště. Převoz exhumovaných nezpopelněných lidských ostatků na jiné pohřebiště musí být předem objednán u provozovat</w:t>
      </w:r>
      <w:r w:rsidR="007D6B61" w:rsidRPr="00A57C4F">
        <w:rPr>
          <w:sz w:val="24"/>
          <w:szCs w:val="24"/>
        </w:rPr>
        <w:t>ele pohřební sl</w:t>
      </w:r>
      <w:r w:rsidRPr="00A57C4F">
        <w:rPr>
          <w:sz w:val="24"/>
          <w:szCs w:val="24"/>
        </w:rPr>
        <w:t xml:space="preserve">užby a objednávka k žádosti přiložena. Nájemce hrobového místa doloží k žádosti o exhumaci vždy skutečnost úmrtí podle § 22 odst. 2 zákona o pohřebnictví a písemný souhlas osoby uvedené v § 114 odst. 1 občanského zákoníku. Před exhumací nezetlelých lidských ostatků musí </w:t>
      </w:r>
      <w:r w:rsidR="007D6B61" w:rsidRPr="00A57C4F">
        <w:rPr>
          <w:sz w:val="24"/>
          <w:szCs w:val="24"/>
        </w:rPr>
        <w:t>nájemce hrobového místa pí</w:t>
      </w:r>
      <w:r w:rsidRPr="00A57C4F">
        <w:rPr>
          <w:sz w:val="24"/>
          <w:szCs w:val="24"/>
        </w:rPr>
        <w:t>semně požádat o souhlas také krajskou hygienickou stanice.</w:t>
      </w:r>
    </w:p>
    <w:p w:rsidR="00911175" w:rsidRPr="00A57C4F" w:rsidRDefault="00911175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Pokud jsou lidské ostatky uloženy v hrobce, není třeba k jejich přemístění souhlasu krajské hygienické stanice, nemá-li být rakev otevřena</w:t>
      </w:r>
      <w:r w:rsidR="007D6B61" w:rsidRPr="00A57C4F">
        <w:rPr>
          <w:sz w:val="24"/>
          <w:szCs w:val="24"/>
        </w:rPr>
        <w:t>.</w:t>
      </w:r>
    </w:p>
    <w:p w:rsidR="007D6B61" w:rsidRPr="00A57C4F" w:rsidRDefault="007D6B61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Bez ohledu na uplynutí tlecí doby může být s nezpopelněnými i zpopelněnými lidskými ostatky v rámci pohřebiště manipulováno pouze na základě předchozího souhlasu provozovatele pohřebiště.</w:t>
      </w:r>
    </w:p>
    <w:p w:rsidR="007D6B61" w:rsidRPr="00A57C4F" w:rsidRDefault="007D6B61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V době po úmrtí nájemce (má-li být tento uložen do hrobu, jehož byl nájemcem) zajistí pronajímatel úhradu nájemného a služeb spojených s nájmem na tlecí dobu </w:t>
      </w:r>
      <w:r w:rsidRPr="00A57C4F">
        <w:rPr>
          <w:sz w:val="24"/>
          <w:szCs w:val="24"/>
        </w:rPr>
        <w:lastRenderedPageBreak/>
        <w:t xml:space="preserve">od </w:t>
      </w:r>
      <w:proofErr w:type="spellStart"/>
      <w:r w:rsidRPr="00A57C4F">
        <w:rPr>
          <w:sz w:val="24"/>
          <w:szCs w:val="24"/>
        </w:rPr>
        <w:t>vypravitele</w:t>
      </w:r>
      <w:proofErr w:type="spellEnd"/>
      <w:r w:rsidRPr="00A57C4F">
        <w:rPr>
          <w:sz w:val="24"/>
          <w:szCs w:val="24"/>
        </w:rPr>
        <w:t xml:space="preserve"> pohřbu nebo jiné zmocněné osoby, která obstarává pohřbení zemřelého nájemce. Nepožádá-li nikdo o uzavření smlouvy o nájmu k předmětnému hrobovému místu, zůstává toto hrobové místo po tlecí dobu bez nájemce, s povinností provozovatele o toto místo pečovat.</w:t>
      </w:r>
    </w:p>
    <w:p w:rsidR="007D6B61" w:rsidRPr="00A57C4F" w:rsidRDefault="007D6B61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Rakve použité pro pohřbívání do země, musí být vyrobeny z takových materiálů, aby ve stanovené tlecí době zetlely (mineralizace) spolu s lidskými ostatky. Ze</w:t>
      </w:r>
      <w:r w:rsidR="00294F9E" w:rsidRPr="00A57C4F">
        <w:rPr>
          <w:sz w:val="24"/>
          <w:szCs w:val="24"/>
        </w:rPr>
        <w:t xml:space="preserve"> zetlelé se považují zbytky rakv</w:t>
      </w:r>
      <w:r w:rsidRPr="00A57C4F">
        <w:rPr>
          <w:sz w:val="24"/>
          <w:szCs w:val="24"/>
        </w:rPr>
        <w:t>í (hlavních desek) o maximální velikosti 0,5 m² držící vcelku. Pro výrobu rakví, ukládaných do hrobu na pohřebišti nesmějí být použity díly z nerozložitelných materiálů.</w:t>
      </w:r>
    </w:p>
    <w:p w:rsidR="007D6B61" w:rsidRPr="00A57C4F" w:rsidRDefault="007D6B61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Výplň rakví může být pou</w:t>
      </w:r>
      <w:r w:rsidR="00294F9E" w:rsidRPr="00A57C4F">
        <w:rPr>
          <w:sz w:val="24"/>
          <w:szCs w:val="24"/>
        </w:rPr>
        <w:t>z</w:t>
      </w:r>
      <w:r w:rsidRPr="00A57C4F">
        <w:rPr>
          <w:sz w:val="24"/>
          <w:szCs w:val="24"/>
        </w:rPr>
        <w:t xml:space="preserve">e z lehce </w:t>
      </w:r>
      <w:r w:rsidR="00294F9E" w:rsidRPr="00A57C4F">
        <w:rPr>
          <w:sz w:val="24"/>
          <w:szCs w:val="24"/>
        </w:rPr>
        <w:t>rozložiteln</w:t>
      </w:r>
      <w:r w:rsidRPr="00A57C4F">
        <w:rPr>
          <w:sz w:val="24"/>
          <w:szCs w:val="24"/>
        </w:rPr>
        <w:t>ých materiálů jako dřevěné piliny, papír a látky, u vaků rozložitelné plasty a u rubášů látky. K výrobě rakví a jejich nátěrů nesmí být použity barvy, lepidla a tvrdidla, obsahující složky škodlivých látek.</w:t>
      </w:r>
    </w:p>
    <w:p w:rsidR="007D6B61" w:rsidRPr="00A57C4F" w:rsidRDefault="007D6B61" w:rsidP="00926478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 pohřbívání do hrobek je nutno použít rakve:</w:t>
      </w:r>
    </w:p>
    <w:p w:rsidR="007D6B61" w:rsidRPr="00A57C4F" w:rsidRDefault="007D6B61" w:rsidP="007D6B61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vyrobené z dřevního materiálu s dlouhou trvanlivostí, do které bude umístěna poloviční zinková vložka nebo kovové nebo rakve dle ČSN</w:t>
      </w:r>
    </w:p>
    <w:p w:rsidR="007D6B61" w:rsidRPr="00A57C4F" w:rsidRDefault="007D6B61" w:rsidP="007D6B61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maximální rozměry rakví v hrobkách nesmějí překroč</w:t>
      </w:r>
      <w:r w:rsidR="00294F9E" w:rsidRPr="00A57C4F">
        <w:rPr>
          <w:sz w:val="24"/>
          <w:szCs w:val="24"/>
        </w:rPr>
        <w:t>i</w:t>
      </w:r>
      <w:r w:rsidRPr="00A57C4F">
        <w:rPr>
          <w:sz w:val="24"/>
          <w:szCs w:val="24"/>
        </w:rPr>
        <w:t>t délku 2,15m a šíři 0,85 m.</w:t>
      </w:r>
    </w:p>
    <w:p w:rsidR="007D6B61" w:rsidRPr="00A57C4F" w:rsidRDefault="00294F9E" w:rsidP="007D6B61">
      <w:pPr>
        <w:pStyle w:val="Odstavecseseznamem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Všechny ra</w:t>
      </w:r>
      <w:r w:rsidR="007D6B61" w:rsidRPr="00A57C4F">
        <w:rPr>
          <w:sz w:val="24"/>
          <w:szCs w:val="24"/>
        </w:rPr>
        <w:t>kve včetně exhumačních, musí být označeny štítkem se jmé</w:t>
      </w:r>
      <w:r w:rsidRPr="00A57C4F">
        <w:rPr>
          <w:sz w:val="24"/>
          <w:szCs w:val="24"/>
        </w:rPr>
        <w:t>nem zemřelého, datem narození, d</w:t>
      </w:r>
      <w:r w:rsidR="007D6B61" w:rsidRPr="00A57C4F">
        <w:rPr>
          <w:sz w:val="24"/>
          <w:szCs w:val="24"/>
        </w:rPr>
        <w:t>atem úmrtí, d</w:t>
      </w:r>
      <w:r w:rsidRPr="00A57C4F">
        <w:rPr>
          <w:sz w:val="24"/>
          <w:szCs w:val="24"/>
        </w:rPr>
        <w:t>nem pohřbu a názvem provádějící</w:t>
      </w:r>
      <w:r w:rsidR="007D6B61" w:rsidRPr="00A57C4F">
        <w:rPr>
          <w:sz w:val="24"/>
          <w:szCs w:val="24"/>
        </w:rPr>
        <w:t xml:space="preserve"> pohřebn</w:t>
      </w:r>
      <w:r w:rsidRPr="00A57C4F">
        <w:rPr>
          <w:sz w:val="24"/>
          <w:szCs w:val="24"/>
        </w:rPr>
        <w:t>í</w:t>
      </w:r>
      <w:r w:rsidR="007D6B61" w:rsidRPr="00A57C4F">
        <w:rPr>
          <w:sz w:val="24"/>
          <w:szCs w:val="24"/>
        </w:rPr>
        <w:t xml:space="preserve"> služby.</w:t>
      </w:r>
    </w:p>
    <w:p w:rsidR="007D6B61" w:rsidRPr="00A57C4F" w:rsidRDefault="007D6B61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11</w:t>
      </w:r>
    </w:p>
    <w:p w:rsidR="007D6B61" w:rsidRPr="00A57C4F" w:rsidRDefault="007D6B61" w:rsidP="00A57C4F">
      <w:pPr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Podmínky pro otevření hrobu – hrobky pr</w:t>
      </w:r>
      <w:r w:rsidR="00294F9E" w:rsidRPr="00A57C4F">
        <w:rPr>
          <w:b/>
          <w:sz w:val="24"/>
          <w:szCs w:val="24"/>
        </w:rPr>
        <w:t>ovozovatele</w:t>
      </w:r>
      <w:r w:rsidRPr="00A57C4F">
        <w:rPr>
          <w:b/>
          <w:sz w:val="24"/>
          <w:szCs w:val="24"/>
        </w:rPr>
        <w:t>m pohřební služby</w:t>
      </w:r>
    </w:p>
    <w:p w:rsidR="00294F9E" w:rsidRPr="00A57C4F" w:rsidRDefault="00294F9E" w:rsidP="00294F9E">
      <w:pPr>
        <w:pStyle w:val="Odstavecseseznamem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Provozovatel pohřební služby smí otevřít hrob nebo hrobku na pohřebišti pro uložení lidských pozůstatků nebo lidských ostatků, k provedení exhumace, popř. k jiným účelům, po obdržení písemného povolení k otevření hrobu nebo hrobky od provozovatele pohřebiště.</w:t>
      </w:r>
    </w:p>
    <w:p w:rsidR="00294F9E" w:rsidRPr="00A57C4F" w:rsidRDefault="00294F9E" w:rsidP="00294F9E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  <w:t>Provozovatel pohřebiště vydá tot</w:t>
      </w:r>
      <w:r w:rsidR="006D3882" w:rsidRPr="00A57C4F">
        <w:rPr>
          <w:sz w:val="24"/>
          <w:szCs w:val="24"/>
        </w:rPr>
        <w:t>o</w:t>
      </w:r>
      <w:r w:rsidRPr="00A57C4F">
        <w:rPr>
          <w:sz w:val="24"/>
          <w:szCs w:val="24"/>
        </w:rPr>
        <w:t xml:space="preserve"> povolení na základě:</w:t>
      </w:r>
    </w:p>
    <w:p w:rsidR="00294F9E" w:rsidRPr="00A57C4F" w:rsidRDefault="00294F9E" w:rsidP="00294F9E">
      <w:pPr>
        <w:pStyle w:val="Odstavecseseznamem"/>
        <w:numPr>
          <w:ilvl w:val="0"/>
          <w:numId w:val="28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žádosti </w:t>
      </w:r>
      <w:proofErr w:type="spellStart"/>
      <w:r w:rsidRPr="00A57C4F">
        <w:rPr>
          <w:sz w:val="24"/>
          <w:szCs w:val="24"/>
        </w:rPr>
        <w:t>vypravitele</w:t>
      </w:r>
      <w:proofErr w:type="spellEnd"/>
      <w:r w:rsidRPr="00A57C4F">
        <w:rPr>
          <w:sz w:val="24"/>
          <w:szCs w:val="24"/>
        </w:rPr>
        <w:t xml:space="preserve"> pohřbu nebo nájemce hrobu o otevření hrobu nebo hrobky provozovatelem pohřební služby</w:t>
      </w:r>
    </w:p>
    <w:p w:rsidR="00294F9E" w:rsidRPr="00A57C4F" w:rsidRDefault="00294F9E" w:rsidP="00294F9E">
      <w:pPr>
        <w:pStyle w:val="Odstavecseseznamem"/>
        <w:numPr>
          <w:ilvl w:val="0"/>
          <w:numId w:val="28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oprávnění k podnikatel</w:t>
      </w:r>
      <w:r w:rsidR="006D3882" w:rsidRPr="00A57C4F">
        <w:rPr>
          <w:sz w:val="24"/>
          <w:szCs w:val="24"/>
        </w:rPr>
        <w:t>s</w:t>
      </w:r>
      <w:r w:rsidRPr="00A57C4F">
        <w:rPr>
          <w:sz w:val="24"/>
          <w:szCs w:val="24"/>
        </w:rPr>
        <w:t>ké činnosti v oblasti provozování pohřební služby a oprávnění</w:t>
      </w:r>
      <w:r w:rsidR="006D3882" w:rsidRPr="00A57C4F">
        <w:rPr>
          <w:sz w:val="24"/>
          <w:szCs w:val="24"/>
        </w:rPr>
        <w:t xml:space="preserve"> vykonávat podnikatelskou činnost – práce při kopání hrobů na pohřebišti (výpis z živnostenského rejstříku)</w:t>
      </w:r>
    </w:p>
    <w:p w:rsidR="006D3882" w:rsidRPr="00A57C4F" w:rsidRDefault="006D3882" w:rsidP="00294F9E">
      <w:pPr>
        <w:pStyle w:val="Odstavecseseznamem"/>
        <w:numPr>
          <w:ilvl w:val="0"/>
          <w:numId w:val="28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osvědčení o získání profesní kvalifikace. „Hrobník“ nebo tvrzení o absolvování školení hrobníků od provozovatele pohřební služby, jejíž zaměstnanec bude hrob nebo hrobku otevírat</w:t>
      </w:r>
    </w:p>
    <w:p w:rsidR="006D3882" w:rsidRPr="00A57C4F" w:rsidRDefault="006D3882" w:rsidP="006D3882">
      <w:pPr>
        <w:pStyle w:val="Odstavecseseznamem"/>
        <w:numPr>
          <w:ilvl w:val="0"/>
          <w:numId w:val="27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Zaměstnanec pohřební služby, který bude hrob nebo hrobku otevírat, musí být provozovatelem pohřebiště seznámen s řádem pohřebiště, místními podmínkami a s jinými informacemi nezbytnými pro bezpečné otevření hrobu nebo hrobky.</w:t>
      </w:r>
    </w:p>
    <w:p w:rsidR="00371752" w:rsidRPr="00A57C4F" w:rsidRDefault="00371752" w:rsidP="006D3882">
      <w:pPr>
        <w:pStyle w:val="Odstavecseseznamem"/>
        <w:numPr>
          <w:ilvl w:val="0"/>
          <w:numId w:val="27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Otevření hrobu, u něhož neuplynula tlecí doba od posledního pohřbení, je možné provést jen tehdy, pokud příslušná krajská hygienická stanice povolila manipulaci s nezetlelými lidskými ostatky.</w:t>
      </w:r>
    </w:p>
    <w:p w:rsidR="00371752" w:rsidRPr="00A57C4F" w:rsidRDefault="00371752" w:rsidP="006D3882">
      <w:pPr>
        <w:pStyle w:val="Odstavecseseznamem"/>
        <w:numPr>
          <w:ilvl w:val="0"/>
          <w:numId w:val="27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lastRenderedPageBreak/>
        <w:t>Náklady vzniklé provozovateli pohřebiště v souvislosti s otevřením hrobu nebo hrobky hradí ten, kdo o otevření požádal.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12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Dřeviny a ostatní</w:t>
      </w:r>
    </w:p>
    <w:p w:rsidR="00371752" w:rsidRPr="00A57C4F" w:rsidRDefault="00371752" w:rsidP="00371752">
      <w:pPr>
        <w:pStyle w:val="Odstavecseseznamem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Dřeviny lze na pohřebišti vysazovat pouze se souhlasem provozovatele pohřebiště.</w:t>
      </w:r>
    </w:p>
    <w:p w:rsidR="00371752" w:rsidRPr="00A57C4F" w:rsidRDefault="00371752" w:rsidP="00371752">
      <w:pPr>
        <w:pStyle w:val="Odstavecseseznamem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Provozovatel pohřebiště může dle svého uvážení a bez souhlasu nájemce odstranit vysazené dřeviny, k jejíž výsadbě nedal souhlas.</w:t>
      </w:r>
    </w:p>
    <w:p w:rsidR="00371752" w:rsidRPr="00A57C4F" w:rsidRDefault="00CB53BE" w:rsidP="00371752">
      <w:pPr>
        <w:pStyle w:val="Odstavecseseznamem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Odstraňovat</w:t>
      </w:r>
      <w:r w:rsidR="00371752" w:rsidRPr="00A57C4F">
        <w:rPr>
          <w:sz w:val="24"/>
          <w:szCs w:val="24"/>
        </w:rPr>
        <w:t xml:space="preserve"> vzrostlou zeleň lze jen při dodržení zvláštního předpisu (viz zákon č. 114/1992 Sb., o ochraně </w:t>
      </w:r>
      <w:r w:rsidRPr="00A57C4F">
        <w:rPr>
          <w:sz w:val="24"/>
          <w:szCs w:val="24"/>
        </w:rPr>
        <w:t>přírody a krajiny</w:t>
      </w:r>
      <w:r w:rsidR="00371752" w:rsidRPr="00A57C4F">
        <w:rPr>
          <w:sz w:val="24"/>
          <w:szCs w:val="24"/>
        </w:rPr>
        <w:t>, ve znění pozdějších předpisů).</w:t>
      </w:r>
    </w:p>
    <w:p w:rsidR="00371752" w:rsidRPr="00A57C4F" w:rsidRDefault="00371752" w:rsidP="00371752">
      <w:pPr>
        <w:pStyle w:val="Odstavecseseznamem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Všechna trvalá zeleň vys</w:t>
      </w:r>
      <w:r w:rsidR="00CB53BE">
        <w:rPr>
          <w:sz w:val="24"/>
          <w:szCs w:val="24"/>
        </w:rPr>
        <w:t>a</w:t>
      </w:r>
      <w:r w:rsidRPr="00A57C4F">
        <w:rPr>
          <w:sz w:val="24"/>
          <w:szCs w:val="24"/>
        </w:rPr>
        <w:t xml:space="preserve">zená na pohřebišti </w:t>
      </w:r>
      <w:r w:rsidR="00CB53BE">
        <w:rPr>
          <w:sz w:val="24"/>
          <w:szCs w:val="24"/>
        </w:rPr>
        <w:t>se stává majetkem provozovatele</w:t>
      </w:r>
      <w:r w:rsidRPr="00A57C4F">
        <w:rPr>
          <w:sz w:val="24"/>
          <w:szCs w:val="24"/>
        </w:rPr>
        <w:t xml:space="preserve"> pohřebiště.</w:t>
      </w:r>
    </w:p>
    <w:p w:rsidR="00371752" w:rsidRPr="00A57C4F" w:rsidRDefault="00371752" w:rsidP="00371752">
      <w:pPr>
        <w:pStyle w:val="Odstavecseseznamem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Pokud je růstem vzrostlých stromů způsobena nájemci škoda na majetku, rozhoduje o způsobu řešení nebo náhrady provozovatel </w:t>
      </w:r>
      <w:r w:rsidR="00CB53BE" w:rsidRPr="00A57C4F">
        <w:rPr>
          <w:sz w:val="24"/>
          <w:szCs w:val="24"/>
        </w:rPr>
        <w:t>pohřebiště</w:t>
      </w:r>
      <w:r w:rsidRPr="00A57C4F">
        <w:rPr>
          <w:sz w:val="24"/>
          <w:szCs w:val="24"/>
        </w:rPr>
        <w:t xml:space="preserve"> případně soud.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13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Sankce</w:t>
      </w:r>
    </w:p>
    <w:p w:rsidR="00371752" w:rsidRPr="00A57C4F" w:rsidRDefault="00CB53BE" w:rsidP="00371752">
      <w:pPr>
        <w:pStyle w:val="Odstavecseseznamem"/>
        <w:numPr>
          <w:ilvl w:val="0"/>
          <w:numId w:val="30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Porušení tohoto </w:t>
      </w:r>
      <w:r w:rsidR="00371752" w:rsidRPr="00A57C4F">
        <w:rPr>
          <w:sz w:val="24"/>
          <w:szCs w:val="24"/>
        </w:rPr>
        <w:t>řádu bude postihováno podle § 5 odst. 1 písm. i) zákona č. 251/2016 Sb., o některých přestupcích, ve znění pozdějších předpisů, jako přestupek proti veřejnému pořádku, zvláště pokud fyzická osoba poruší podmínky uložené v tomto řádu při konání pohřbu nebo pietního akt.</w:t>
      </w:r>
    </w:p>
    <w:p w:rsidR="00371752" w:rsidRPr="00A57C4F" w:rsidRDefault="00371752" w:rsidP="00371752">
      <w:pPr>
        <w:pStyle w:val="Odstavecseseznamem"/>
        <w:numPr>
          <w:ilvl w:val="0"/>
          <w:numId w:val="3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Přestupku se dopustí také ten, kdo dle zákona o pohřebnictví:</w:t>
      </w:r>
    </w:p>
    <w:p w:rsidR="00371752" w:rsidRPr="00A57C4F" w:rsidRDefault="00371752" w:rsidP="00371752">
      <w:pPr>
        <w:pStyle w:val="Odstavecseseznamem"/>
        <w:numPr>
          <w:ilvl w:val="0"/>
          <w:numId w:val="31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rozporu s § 4 odst. 1 písm. f) zachází s lidskými pozůstatky nebo lidskými ostatky na pohřebišti způsobem dotýkajícím se důstojnosti zemřelého nebo mravního cítění veřejnosti</w:t>
      </w:r>
    </w:p>
    <w:p w:rsidR="00371752" w:rsidRPr="00A57C4F" w:rsidRDefault="00371752" w:rsidP="00371752">
      <w:pPr>
        <w:pStyle w:val="Odstavecseseznamem"/>
        <w:numPr>
          <w:ilvl w:val="0"/>
          <w:numId w:val="31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rozporu s § 4 písm. g) neoprávněně otevře na pohřebišti konečnou rakev s lidskými pozůstatky nebo urnu s lidskými ostatky</w:t>
      </w:r>
    </w:p>
    <w:p w:rsidR="00371752" w:rsidRPr="00A57C4F" w:rsidRDefault="00371752" w:rsidP="00371752">
      <w:pPr>
        <w:pStyle w:val="Odstavecseseznamem"/>
        <w:numPr>
          <w:ilvl w:val="0"/>
          <w:numId w:val="31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v rozporu s § 4 odst. 1 písm. h) neoprávněně otevře na pohřebišti hrob nebo hrobku nebo neoprávněně provádí exhumaci.</w:t>
      </w:r>
    </w:p>
    <w:p w:rsidR="00371752" w:rsidRPr="00A57C4F" w:rsidRDefault="00371752" w:rsidP="00371752">
      <w:pPr>
        <w:pStyle w:val="Odstavecseseznamem"/>
        <w:numPr>
          <w:ilvl w:val="0"/>
          <w:numId w:val="3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Za přestupky uvedené v odst. 2 tohoto článku lze ve smyslu § 26 zákona o pohřebnictví uložit pokutu až do výše 100 000,- Kč.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14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Zrušující ustanovení</w:t>
      </w:r>
    </w:p>
    <w:p w:rsidR="00371752" w:rsidRDefault="00371752" w:rsidP="00371752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>Dnem nabytí účinnosti tohoto schváleného Řádu pohřebiště se zrušuje v celém rozsahu řád pohřebiště schválený zastupitelstvem obce dne 30. 6. 2002.</w:t>
      </w:r>
    </w:p>
    <w:p w:rsidR="00A57C4F" w:rsidRDefault="00A57C4F" w:rsidP="00371752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7C4F" w:rsidRDefault="00A57C4F" w:rsidP="00371752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7C4F" w:rsidRPr="00A57C4F" w:rsidRDefault="00A57C4F" w:rsidP="00371752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Článek 15</w:t>
      </w:r>
    </w:p>
    <w:p w:rsidR="00371752" w:rsidRPr="00A57C4F" w:rsidRDefault="00371752" w:rsidP="00A57C4F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  <w:r w:rsidRPr="00A57C4F">
        <w:rPr>
          <w:b/>
          <w:sz w:val="24"/>
          <w:szCs w:val="24"/>
        </w:rPr>
        <w:t>Závěrečná ustanovení</w:t>
      </w:r>
    </w:p>
    <w:p w:rsidR="00371752" w:rsidRPr="00A57C4F" w:rsidRDefault="00A57C4F" w:rsidP="00371752">
      <w:pPr>
        <w:pStyle w:val="Odstavecseseznamem"/>
        <w:numPr>
          <w:ilvl w:val="0"/>
          <w:numId w:val="33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Tento řád nabývá účinnosti dnem </w:t>
      </w:r>
      <w:r w:rsidR="005B1F36">
        <w:rPr>
          <w:sz w:val="24"/>
          <w:szCs w:val="24"/>
        </w:rPr>
        <w:t>25. 10. 2019</w:t>
      </w:r>
      <w:r w:rsidRPr="00A57C4F">
        <w:rPr>
          <w:sz w:val="24"/>
          <w:szCs w:val="24"/>
        </w:rPr>
        <w:t>.</w:t>
      </w:r>
    </w:p>
    <w:p w:rsidR="00A57C4F" w:rsidRPr="00A57C4F" w:rsidRDefault="00A57C4F" w:rsidP="00371752">
      <w:pPr>
        <w:pStyle w:val="Odstavecseseznamem"/>
        <w:numPr>
          <w:ilvl w:val="0"/>
          <w:numId w:val="33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Řád veřejného pohřebiště bude vyřešen na úřední desce Obce Mičovice po dobu </w:t>
      </w:r>
      <w:proofErr w:type="gramStart"/>
      <w:r w:rsidRPr="00A57C4F">
        <w:rPr>
          <w:sz w:val="24"/>
          <w:szCs w:val="24"/>
        </w:rPr>
        <w:t>15-ti</w:t>
      </w:r>
      <w:proofErr w:type="gramEnd"/>
      <w:r w:rsidRPr="00A57C4F">
        <w:rPr>
          <w:sz w:val="24"/>
          <w:szCs w:val="24"/>
        </w:rPr>
        <w:t xml:space="preserve"> dnů a po celou dobu platnosti tohoto řádu na pohřebišti na místě obvyklém.</w:t>
      </w:r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 xml:space="preserve">V Mičovicích, dne </w:t>
      </w:r>
      <w:r w:rsidR="005B1F36">
        <w:rPr>
          <w:sz w:val="24"/>
          <w:szCs w:val="24"/>
        </w:rPr>
        <w:t>25. 10. 2019</w:t>
      </w:r>
      <w:bookmarkStart w:id="0" w:name="_GoBack"/>
      <w:bookmarkEnd w:id="0"/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………………………………………..</w:t>
      </w:r>
    </w:p>
    <w:p w:rsidR="00A57C4F" w:rsidRPr="00A57C4F" w:rsidRDefault="00A57C4F" w:rsidP="00A57C4F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  <w:t>starosta</w:t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  <w:r w:rsidRPr="00A57C4F">
        <w:rPr>
          <w:sz w:val="24"/>
          <w:szCs w:val="24"/>
        </w:rPr>
        <w:tab/>
      </w:r>
    </w:p>
    <w:p w:rsidR="005E48E5" w:rsidRPr="00A57C4F" w:rsidRDefault="005E48E5" w:rsidP="007B72F2">
      <w:pPr>
        <w:spacing w:line="240" w:lineRule="auto"/>
        <w:rPr>
          <w:sz w:val="24"/>
          <w:szCs w:val="24"/>
        </w:rPr>
      </w:pPr>
    </w:p>
    <w:p w:rsidR="00B80FA3" w:rsidRPr="00A57C4F" w:rsidRDefault="00B80FA3" w:rsidP="00A2324C">
      <w:pPr>
        <w:spacing w:line="240" w:lineRule="auto"/>
        <w:rPr>
          <w:sz w:val="24"/>
          <w:szCs w:val="24"/>
        </w:rPr>
      </w:pPr>
    </w:p>
    <w:p w:rsidR="00A228EF" w:rsidRPr="00A57C4F" w:rsidRDefault="00A228EF" w:rsidP="00A228EF">
      <w:pPr>
        <w:spacing w:line="240" w:lineRule="auto"/>
        <w:rPr>
          <w:sz w:val="24"/>
          <w:szCs w:val="24"/>
        </w:rPr>
      </w:pPr>
    </w:p>
    <w:p w:rsidR="00A228EF" w:rsidRPr="00A57C4F" w:rsidRDefault="00A228EF" w:rsidP="00A228EF">
      <w:pPr>
        <w:spacing w:line="240" w:lineRule="auto"/>
        <w:rPr>
          <w:sz w:val="24"/>
          <w:szCs w:val="24"/>
        </w:rPr>
      </w:pPr>
    </w:p>
    <w:p w:rsidR="00A8539E" w:rsidRPr="00A57C4F" w:rsidRDefault="00A8539E" w:rsidP="00A8539E">
      <w:pPr>
        <w:spacing w:line="240" w:lineRule="auto"/>
        <w:rPr>
          <w:sz w:val="24"/>
          <w:szCs w:val="24"/>
        </w:rPr>
      </w:pPr>
    </w:p>
    <w:sectPr w:rsidR="00A8539E" w:rsidRPr="00A5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CE7"/>
    <w:multiLevelType w:val="hybridMultilevel"/>
    <w:tmpl w:val="BF52391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834D0"/>
    <w:multiLevelType w:val="hybridMultilevel"/>
    <w:tmpl w:val="45A6686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758D5"/>
    <w:multiLevelType w:val="hybridMultilevel"/>
    <w:tmpl w:val="38E2C8BE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>
    <w:nsid w:val="0B2B3001"/>
    <w:multiLevelType w:val="hybridMultilevel"/>
    <w:tmpl w:val="A8EE1C9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922DA"/>
    <w:multiLevelType w:val="hybridMultilevel"/>
    <w:tmpl w:val="9CCA7A52"/>
    <w:lvl w:ilvl="0" w:tplc="04050017">
      <w:start w:val="1"/>
      <w:numFmt w:val="lowerLetter"/>
      <w:lvlText w:val="%1)"/>
      <w:lvlJc w:val="lef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>
    <w:nsid w:val="0EBA28FC"/>
    <w:multiLevelType w:val="hybridMultilevel"/>
    <w:tmpl w:val="E73C86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17209"/>
    <w:multiLevelType w:val="hybridMultilevel"/>
    <w:tmpl w:val="010EBC2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A427D43"/>
    <w:multiLevelType w:val="hybridMultilevel"/>
    <w:tmpl w:val="8F9AA3A6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1C7C7D9F"/>
    <w:multiLevelType w:val="hybridMultilevel"/>
    <w:tmpl w:val="36C6D2F0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1DEF11C0"/>
    <w:multiLevelType w:val="hybridMultilevel"/>
    <w:tmpl w:val="3CEC80E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038A9"/>
    <w:multiLevelType w:val="hybridMultilevel"/>
    <w:tmpl w:val="DADE2C40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>
    <w:nsid w:val="22862660"/>
    <w:multiLevelType w:val="hybridMultilevel"/>
    <w:tmpl w:val="F8020C10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>
    <w:nsid w:val="2DE43E30"/>
    <w:multiLevelType w:val="hybridMultilevel"/>
    <w:tmpl w:val="E3A847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E4C87"/>
    <w:multiLevelType w:val="hybridMultilevel"/>
    <w:tmpl w:val="15EE9A2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11C7A"/>
    <w:multiLevelType w:val="hybridMultilevel"/>
    <w:tmpl w:val="2F1490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25989"/>
    <w:multiLevelType w:val="hybridMultilevel"/>
    <w:tmpl w:val="6F92D2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109BF"/>
    <w:multiLevelType w:val="hybridMultilevel"/>
    <w:tmpl w:val="3174B34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F7673"/>
    <w:multiLevelType w:val="hybridMultilevel"/>
    <w:tmpl w:val="F3E09B2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23F0F"/>
    <w:multiLevelType w:val="hybridMultilevel"/>
    <w:tmpl w:val="BED21B9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925C7"/>
    <w:multiLevelType w:val="hybridMultilevel"/>
    <w:tmpl w:val="F41A0CFC"/>
    <w:lvl w:ilvl="0" w:tplc="04050017">
      <w:start w:val="1"/>
      <w:numFmt w:val="lowerLetter"/>
      <w:lvlText w:val="%1)"/>
      <w:lvlJc w:val="lef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0">
    <w:nsid w:val="4E9E4007"/>
    <w:multiLevelType w:val="hybridMultilevel"/>
    <w:tmpl w:val="22407144"/>
    <w:lvl w:ilvl="0" w:tplc="04050017">
      <w:start w:val="1"/>
      <w:numFmt w:val="lowerLetter"/>
      <w:lvlText w:val="%1)"/>
      <w:lvlJc w:val="lef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>
    <w:nsid w:val="4FD01A8C"/>
    <w:multiLevelType w:val="hybridMultilevel"/>
    <w:tmpl w:val="697AEFF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B7606"/>
    <w:multiLevelType w:val="hybridMultilevel"/>
    <w:tmpl w:val="4ED22060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55D17EBB"/>
    <w:multiLevelType w:val="hybridMultilevel"/>
    <w:tmpl w:val="4E986C0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87897"/>
    <w:multiLevelType w:val="hybridMultilevel"/>
    <w:tmpl w:val="2C4236FE"/>
    <w:lvl w:ilvl="0" w:tplc="04050017">
      <w:start w:val="1"/>
      <w:numFmt w:val="lowerLetter"/>
      <w:lvlText w:val="%1)"/>
      <w:lvlJc w:val="left"/>
      <w:pPr>
        <w:ind w:left="2140" w:hanging="360"/>
      </w:p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>
    <w:nsid w:val="5E4E0FAF"/>
    <w:multiLevelType w:val="hybridMultilevel"/>
    <w:tmpl w:val="BF52391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B6BA8"/>
    <w:multiLevelType w:val="hybridMultilevel"/>
    <w:tmpl w:val="72640A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5555B2"/>
    <w:multiLevelType w:val="hybridMultilevel"/>
    <w:tmpl w:val="898A1ADC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>
    <w:nsid w:val="660A4898"/>
    <w:multiLevelType w:val="hybridMultilevel"/>
    <w:tmpl w:val="2422B0F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A290C"/>
    <w:multiLevelType w:val="hybridMultilevel"/>
    <w:tmpl w:val="C8502134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0">
    <w:nsid w:val="68990ACB"/>
    <w:multiLevelType w:val="hybridMultilevel"/>
    <w:tmpl w:val="11B81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FD625F"/>
    <w:multiLevelType w:val="hybridMultilevel"/>
    <w:tmpl w:val="2422B0F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F076E"/>
    <w:multiLevelType w:val="hybridMultilevel"/>
    <w:tmpl w:val="5E5C8C1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31"/>
  </w:num>
  <w:num w:numId="9">
    <w:abstractNumId w:val="8"/>
  </w:num>
  <w:num w:numId="10">
    <w:abstractNumId w:val="27"/>
  </w:num>
  <w:num w:numId="11">
    <w:abstractNumId w:val="28"/>
  </w:num>
  <w:num w:numId="12">
    <w:abstractNumId w:val="3"/>
  </w:num>
  <w:num w:numId="13">
    <w:abstractNumId w:val="15"/>
  </w:num>
  <w:num w:numId="14">
    <w:abstractNumId w:val="22"/>
  </w:num>
  <w:num w:numId="15">
    <w:abstractNumId w:val="11"/>
  </w:num>
  <w:num w:numId="16">
    <w:abstractNumId w:val="9"/>
  </w:num>
  <w:num w:numId="17">
    <w:abstractNumId w:val="7"/>
  </w:num>
  <w:num w:numId="18">
    <w:abstractNumId w:val="23"/>
  </w:num>
  <w:num w:numId="19">
    <w:abstractNumId w:val="1"/>
  </w:num>
  <w:num w:numId="20">
    <w:abstractNumId w:val="4"/>
  </w:num>
  <w:num w:numId="21">
    <w:abstractNumId w:val="16"/>
  </w:num>
  <w:num w:numId="22">
    <w:abstractNumId w:val="12"/>
  </w:num>
  <w:num w:numId="23">
    <w:abstractNumId w:val="20"/>
  </w:num>
  <w:num w:numId="24">
    <w:abstractNumId w:val="18"/>
  </w:num>
  <w:num w:numId="25">
    <w:abstractNumId w:val="29"/>
  </w:num>
  <w:num w:numId="26">
    <w:abstractNumId w:val="32"/>
  </w:num>
  <w:num w:numId="27">
    <w:abstractNumId w:val="21"/>
  </w:num>
  <w:num w:numId="28">
    <w:abstractNumId w:val="19"/>
  </w:num>
  <w:num w:numId="29">
    <w:abstractNumId w:val="13"/>
  </w:num>
  <w:num w:numId="30">
    <w:abstractNumId w:val="0"/>
  </w:num>
  <w:num w:numId="31">
    <w:abstractNumId w:val="24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16"/>
    <w:rsid w:val="00081C18"/>
    <w:rsid w:val="00263DF9"/>
    <w:rsid w:val="00294F9E"/>
    <w:rsid w:val="002F0E98"/>
    <w:rsid w:val="002F2D16"/>
    <w:rsid w:val="00371752"/>
    <w:rsid w:val="003E5819"/>
    <w:rsid w:val="00413391"/>
    <w:rsid w:val="004A5879"/>
    <w:rsid w:val="004D65B3"/>
    <w:rsid w:val="005B1F36"/>
    <w:rsid w:val="005D1883"/>
    <w:rsid w:val="005E0B0D"/>
    <w:rsid w:val="005E48E5"/>
    <w:rsid w:val="005E4E31"/>
    <w:rsid w:val="006D3882"/>
    <w:rsid w:val="007B72F2"/>
    <w:rsid w:val="007D5338"/>
    <w:rsid w:val="007D6B61"/>
    <w:rsid w:val="00843F35"/>
    <w:rsid w:val="00911175"/>
    <w:rsid w:val="00926478"/>
    <w:rsid w:val="009E2E62"/>
    <w:rsid w:val="009E7E3A"/>
    <w:rsid w:val="00A04739"/>
    <w:rsid w:val="00A228EF"/>
    <w:rsid w:val="00A2324C"/>
    <w:rsid w:val="00A57C4F"/>
    <w:rsid w:val="00A7123D"/>
    <w:rsid w:val="00A8539E"/>
    <w:rsid w:val="00AA76FA"/>
    <w:rsid w:val="00B145CE"/>
    <w:rsid w:val="00B47668"/>
    <w:rsid w:val="00B80FA3"/>
    <w:rsid w:val="00BA4CC4"/>
    <w:rsid w:val="00CB53BE"/>
    <w:rsid w:val="00D3317B"/>
    <w:rsid w:val="00DC69C5"/>
    <w:rsid w:val="00E66EAE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35"/>
  </w:style>
  <w:style w:type="paragraph" w:styleId="Nadpis1">
    <w:name w:val="heading 1"/>
    <w:basedOn w:val="Normln"/>
    <w:next w:val="Normln"/>
    <w:link w:val="Nadpis1Char"/>
    <w:uiPriority w:val="9"/>
    <w:qFormat/>
    <w:rsid w:val="0084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3F3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4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3F35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843F35"/>
    <w:rPr>
      <w:b/>
      <w:bCs/>
      <w:spacing w:val="0"/>
    </w:rPr>
  </w:style>
  <w:style w:type="character" w:styleId="Zvraznn">
    <w:name w:val="Emphasis"/>
    <w:uiPriority w:val="20"/>
    <w:qFormat/>
    <w:rsid w:val="00843F35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843F35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843F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3F35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43F35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843F3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43F35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843F35"/>
    <w:rPr>
      <w:smallCaps/>
    </w:rPr>
  </w:style>
  <w:style w:type="character" w:styleId="Odkazintenzivn">
    <w:name w:val="Intense Reference"/>
    <w:uiPriority w:val="32"/>
    <w:qFormat/>
    <w:rsid w:val="00843F35"/>
    <w:rPr>
      <w:b/>
      <w:bCs/>
      <w:smallCaps/>
      <w:color w:val="auto"/>
    </w:rPr>
  </w:style>
  <w:style w:type="character" w:styleId="Nzevknihy">
    <w:name w:val="Book Title"/>
    <w:uiPriority w:val="33"/>
    <w:qFormat/>
    <w:rsid w:val="0084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3F3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F35"/>
  </w:style>
  <w:style w:type="paragraph" w:styleId="Nadpis1">
    <w:name w:val="heading 1"/>
    <w:basedOn w:val="Normln"/>
    <w:next w:val="Normln"/>
    <w:link w:val="Nadpis1Char"/>
    <w:uiPriority w:val="9"/>
    <w:qFormat/>
    <w:rsid w:val="00843F3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3F3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3F3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F3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3F3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3F3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3F3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3F3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3F3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3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3F3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3F3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3F3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43F3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43F3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3F3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3F35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843F35"/>
    <w:rPr>
      <w:b/>
      <w:bCs/>
      <w:spacing w:val="0"/>
    </w:rPr>
  </w:style>
  <w:style w:type="character" w:styleId="Zvraznn">
    <w:name w:val="Emphasis"/>
    <w:uiPriority w:val="20"/>
    <w:qFormat/>
    <w:rsid w:val="00843F35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843F35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843F3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43F35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43F35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3F3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3F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843F35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43F35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843F35"/>
    <w:rPr>
      <w:smallCaps/>
    </w:rPr>
  </w:style>
  <w:style w:type="character" w:styleId="Odkazintenzivn">
    <w:name w:val="Intense Reference"/>
    <w:uiPriority w:val="32"/>
    <w:qFormat/>
    <w:rsid w:val="00843F35"/>
    <w:rPr>
      <w:b/>
      <w:bCs/>
      <w:smallCaps/>
      <w:color w:val="auto"/>
    </w:rPr>
  </w:style>
  <w:style w:type="character" w:styleId="Nzevknihy">
    <w:name w:val="Book Title"/>
    <w:uiPriority w:val="33"/>
    <w:qFormat/>
    <w:rsid w:val="00843F3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3F3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A319-9221-4000-81C4-F415261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4418</Words>
  <Characters>26072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2019-10-25T07:57:00Z</dcterms:created>
  <dcterms:modified xsi:type="dcterms:W3CDTF">2019-10-25T07:57:00Z</dcterms:modified>
</cp:coreProperties>
</file>